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A5" w:rsidRPr="00462CBE" w:rsidRDefault="000F18A5" w:rsidP="00734817">
      <w:pPr>
        <w:jc w:val="center"/>
        <w:rPr>
          <w:b/>
          <w:sz w:val="32"/>
          <w:szCs w:val="32"/>
        </w:rPr>
      </w:pPr>
    </w:p>
    <w:p w:rsidR="000F18A5" w:rsidRPr="00462CBE" w:rsidRDefault="000F18A5" w:rsidP="00734817">
      <w:pPr>
        <w:jc w:val="center"/>
        <w:rPr>
          <w:b/>
          <w:sz w:val="32"/>
          <w:szCs w:val="32"/>
        </w:rPr>
      </w:pPr>
    </w:p>
    <w:p w:rsidR="0041401E" w:rsidRDefault="0041401E" w:rsidP="00734817">
      <w:pPr>
        <w:jc w:val="center"/>
        <w:rPr>
          <w:b/>
          <w:sz w:val="32"/>
          <w:szCs w:val="32"/>
        </w:rPr>
      </w:pPr>
      <w:bookmarkStart w:id="0" w:name="_GoBack"/>
      <w:bookmarkEnd w:id="0"/>
    </w:p>
    <w:p w:rsidR="00000C5D" w:rsidRPr="004848D0" w:rsidRDefault="00000C5D" w:rsidP="00734817">
      <w:pPr>
        <w:jc w:val="center"/>
        <w:rPr>
          <w:b/>
          <w:sz w:val="32"/>
          <w:szCs w:val="32"/>
        </w:rPr>
      </w:pPr>
    </w:p>
    <w:p w:rsidR="00734817" w:rsidRPr="004848D0" w:rsidRDefault="00734817" w:rsidP="00734817">
      <w:pPr>
        <w:jc w:val="center"/>
        <w:rPr>
          <w:b/>
          <w:sz w:val="32"/>
          <w:szCs w:val="32"/>
        </w:rPr>
      </w:pPr>
      <w:r w:rsidRPr="004848D0">
        <w:rPr>
          <w:b/>
          <w:sz w:val="32"/>
          <w:szCs w:val="32"/>
        </w:rPr>
        <w:t xml:space="preserve">RESPONSE TO HOUSE </w:t>
      </w:r>
      <w:r w:rsidR="009D3914">
        <w:rPr>
          <w:b/>
          <w:sz w:val="32"/>
          <w:szCs w:val="32"/>
        </w:rPr>
        <w:t xml:space="preserve">CONCURRENT </w:t>
      </w:r>
      <w:r w:rsidRPr="004848D0">
        <w:rPr>
          <w:b/>
          <w:sz w:val="32"/>
          <w:szCs w:val="32"/>
        </w:rPr>
        <w:t>RESOLUTION 8</w:t>
      </w:r>
      <w:r w:rsidR="009D3914">
        <w:rPr>
          <w:b/>
          <w:sz w:val="32"/>
          <w:szCs w:val="32"/>
        </w:rPr>
        <w:t>9</w:t>
      </w:r>
    </w:p>
    <w:p w:rsidR="00734817" w:rsidRPr="004848D0" w:rsidRDefault="00734817" w:rsidP="00734817">
      <w:pPr>
        <w:jc w:val="center"/>
        <w:rPr>
          <w:b/>
          <w:sz w:val="32"/>
          <w:szCs w:val="32"/>
        </w:rPr>
      </w:pPr>
      <w:r w:rsidRPr="004848D0">
        <w:rPr>
          <w:b/>
          <w:sz w:val="32"/>
          <w:szCs w:val="32"/>
        </w:rPr>
        <w:t>OF THE 201</w:t>
      </w:r>
      <w:r w:rsidR="009D3914">
        <w:rPr>
          <w:b/>
          <w:sz w:val="32"/>
          <w:szCs w:val="32"/>
        </w:rPr>
        <w:t>7</w:t>
      </w:r>
      <w:r w:rsidRPr="004848D0">
        <w:rPr>
          <w:b/>
          <w:sz w:val="32"/>
          <w:szCs w:val="32"/>
        </w:rPr>
        <w:t xml:space="preserve"> REGULAR SESSION</w:t>
      </w:r>
    </w:p>
    <w:p w:rsidR="00734817" w:rsidRPr="004848D0" w:rsidRDefault="00734817" w:rsidP="00734817">
      <w:pPr>
        <w:jc w:val="center"/>
        <w:rPr>
          <w:b/>
          <w:sz w:val="32"/>
          <w:szCs w:val="32"/>
        </w:rPr>
      </w:pPr>
      <w:r w:rsidRPr="004848D0">
        <w:rPr>
          <w:b/>
          <w:sz w:val="32"/>
          <w:szCs w:val="32"/>
        </w:rPr>
        <w:t>OF THE LOUISIANA LEGISLATURE</w:t>
      </w:r>
    </w:p>
    <w:p w:rsidR="00734817" w:rsidRPr="004848D0" w:rsidRDefault="00734817" w:rsidP="00734817">
      <w:pPr>
        <w:jc w:val="center"/>
        <w:rPr>
          <w:b/>
          <w:sz w:val="32"/>
          <w:szCs w:val="32"/>
        </w:rPr>
      </w:pPr>
    </w:p>
    <w:p w:rsidR="00734817" w:rsidRPr="004848D0" w:rsidRDefault="00734817" w:rsidP="00734817">
      <w:pPr>
        <w:jc w:val="center"/>
        <w:rPr>
          <w:b/>
          <w:sz w:val="32"/>
          <w:szCs w:val="32"/>
        </w:rPr>
      </w:pPr>
    </w:p>
    <w:p w:rsidR="00734817" w:rsidRPr="004848D0" w:rsidRDefault="00734817" w:rsidP="00734817">
      <w:pPr>
        <w:jc w:val="center"/>
        <w:rPr>
          <w:b/>
          <w:sz w:val="32"/>
          <w:szCs w:val="32"/>
        </w:rPr>
      </w:pPr>
    </w:p>
    <w:p w:rsidR="00734817" w:rsidRPr="004848D0" w:rsidRDefault="00734817" w:rsidP="00734817">
      <w:pPr>
        <w:jc w:val="center"/>
        <w:rPr>
          <w:b/>
          <w:sz w:val="32"/>
          <w:szCs w:val="32"/>
        </w:rPr>
      </w:pPr>
    </w:p>
    <w:p w:rsidR="00734817" w:rsidRPr="004848D0" w:rsidRDefault="00734817" w:rsidP="00734817">
      <w:pPr>
        <w:jc w:val="center"/>
        <w:rPr>
          <w:b/>
          <w:sz w:val="32"/>
          <w:szCs w:val="32"/>
        </w:rPr>
      </w:pPr>
    </w:p>
    <w:p w:rsidR="00734817" w:rsidRPr="004848D0" w:rsidRDefault="00734817" w:rsidP="00734817">
      <w:pPr>
        <w:jc w:val="center"/>
        <w:rPr>
          <w:b/>
          <w:sz w:val="32"/>
          <w:szCs w:val="32"/>
        </w:rPr>
      </w:pPr>
      <w:r w:rsidRPr="004848D0">
        <w:rPr>
          <w:b/>
          <w:sz w:val="32"/>
          <w:szCs w:val="32"/>
        </w:rPr>
        <w:t>LOUISIANA BOARD OF REGENTS</w:t>
      </w: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r w:rsidRPr="004848D0">
        <w:rPr>
          <w:noProof/>
          <w:lang w:eastAsia="en-US"/>
        </w:rPr>
        <w:drawing>
          <wp:inline distT="0" distB="0" distL="0" distR="0" wp14:anchorId="09AACD94" wp14:editId="789D530C">
            <wp:extent cx="1645920" cy="206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2065020"/>
                    </a:xfrm>
                    <a:prstGeom prst="rect">
                      <a:avLst/>
                    </a:prstGeom>
                    <a:noFill/>
                    <a:ln>
                      <a:noFill/>
                    </a:ln>
                  </pic:spPr>
                </pic:pic>
              </a:graphicData>
            </a:graphic>
          </wp:inline>
        </w:drawing>
      </w: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Pr>
        <w:jc w:val="center"/>
      </w:pPr>
    </w:p>
    <w:p w:rsidR="00734817" w:rsidRPr="004848D0" w:rsidRDefault="00734817" w:rsidP="00734817"/>
    <w:p w:rsidR="00734817" w:rsidRPr="004848D0" w:rsidRDefault="00000C5D" w:rsidP="00734817">
      <w:pPr>
        <w:jc w:val="center"/>
        <w:rPr>
          <w:b/>
          <w:sz w:val="32"/>
          <w:szCs w:val="32"/>
        </w:rPr>
      </w:pPr>
      <w:r>
        <w:rPr>
          <w:b/>
          <w:sz w:val="32"/>
          <w:szCs w:val="32"/>
        </w:rPr>
        <w:t>January 201</w:t>
      </w:r>
      <w:r w:rsidR="009D3914">
        <w:rPr>
          <w:b/>
          <w:sz w:val="32"/>
          <w:szCs w:val="32"/>
        </w:rPr>
        <w:t>8</w:t>
      </w:r>
    </w:p>
    <w:p w:rsidR="009D3914" w:rsidRDefault="00734817" w:rsidP="00734817">
      <w:pPr>
        <w:jc w:val="center"/>
      </w:pPr>
      <w:r w:rsidRPr="004848D0">
        <w:br w:type="page"/>
      </w:r>
    </w:p>
    <w:p w:rsidR="00734817" w:rsidRPr="004848D0" w:rsidRDefault="00734817" w:rsidP="00734817">
      <w:pPr>
        <w:jc w:val="center"/>
        <w:rPr>
          <w:b/>
          <w:sz w:val="28"/>
          <w:szCs w:val="28"/>
        </w:rPr>
      </w:pPr>
      <w:r w:rsidRPr="004848D0">
        <w:rPr>
          <w:b/>
          <w:sz w:val="28"/>
          <w:szCs w:val="28"/>
        </w:rPr>
        <w:lastRenderedPageBreak/>
        <w:t>LOUISIANA BOARD OF REGENTS</w:t>
      </w:r>
    </w:p>
    <w:p w:rsidR="00734817" w:rsidRPr="004848D0" w:rsidRDefault="00734817" w:rsidP="00734817">
      <w:pPr>
        <w:jc w:val="center"/>
      </w:pPr>
    </w:p>
    <w:p w:rsidR="00734817" w:rsidRPr="004848D0" w:rsidRDefault="00734817" w:rsidP="00734817"/>
    <w:p w:rsidR="00734817" w:rsidRPr="004848D0" w:rsidRDefault="00734817" w:rsidP="00734817">
      <w:pPr>
        <w:jc w:val="center"/>
      </w:pPr>
      <w:r w:rsidRPr="004848D0">
        <w:rPr>
          <w:noProof/>
          <w:lang w:eastAsia="en-US"/>
        </w:rPr>
        <w:drawing>
          <wp:anchor distT="0" distB="0" distL="114300" distR="114300" simplePos="0" relativeHeight="251661312" behindDoc="1" locked="0" layoutInCell="1" allowOverlap="1" wp14:anchorId="4687DA9C" wp14:editId="64DA7833">
            <wp:simplePos x="0" y="0"/>
            <wp:positionH relativeFrom="column">
              <wp:posOffset>0</wp:posOffset>
            </wp:positionH>
            <wp:positionV relativeFrom="paragraph">
              <wp:posOffset>0</wp:posOffset>
            </wp:positionV>
            <wp:extent cx="5943600" cy="6762750"/>
            <wp:effectExtent l="0" t="0" r="0" b="0"/>
            <wp:wrapNone/>
            <wp:docPr id="4" name="Picture 4" descr="RegentsLogo-blue300dpi (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entsLogo-blue300dpi (Dome)"/>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3600" cy="676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817" w:rsidRPr="004848D0" w:rsidRDefault="00734817" w:rsidP="00734817">
      <w:r w:rsidRPr="004848D0">
        <w:rPr>
          <w:noProof/>
          <w:lang w:eastAsia="en-US"/>
        </w:rPr>
        <mc:AlternateContent>
          <mc:Choice Requires="wps">
            <w:drawing>
              <wp:anchor distT="0" distB="0" distL="114300" distR="114300" simplePos="0" relativeHeight="251660288" behindDoc="0" locked="1" layoutInCell="1" allowOverlap="1" wp14:anchorId="2C421B17" wp14:editId="7F15FDAB">
                <wp:simplePos x="0" y="0"/>
                <wp:positionH relativeFrom="column">
                  <wp:posOffset>2971800</wp:posOffset>
                </wp:positionH>
                <wp:positionV relativeFrom="paragraph">
                  <wp:posOffset>176530</wp:posOffset>
                </wp:positionV>
                <wp:extent cx="2514600" cy="45504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550410"/>
                        </a:xfrm>
                        <a:prstGeom prst="rect">
                          <a:avLst/>
                        </a:prstGeom>
                        <a:noFill/>
                        <a:ln>
                          <a:noFill/>
                        </a:ln>
                        <a:effectLst/>
                        <a:extLst>
                          <a:ext uri="{FAA26D3D-D897-4be2-8F04-BA451C77F1D7}"/>
                          <a:ext uri="{C572A759-6A51-4108-AA02-DFA0A04FC94B}"/>
                        </a:extLst>
                      </wps:spPr>
                      <wps:txbx>
                        <w:txbxContent>
                          <w:p w:rsidR="00E43391" w:rsidRPr="00C84677" w:rsidRDefault="00BF36DD" w:rsidP="00734817">
                            <w:pPr>
                              <w:spacing w:line="276" w:lineRule="auto"/>
                              <w:jc w:val="right"/>
                              <w:rPr>
                                <w:b/>
                                <w:sz w:val="28"/>
                                <w:szCs w:val="28"/>
                              </w:rPr>
                            </w:pPr>
                            <w:r>
                              <w:rPr>
                                <w:b/>
                                <w:sz w:val="28"/>
                                <w:szCs w:val="28"/>
                              </w:rPr>
                              <w:t>Charles l. McDonald</w:t>
                            </w:r>
                          </w:p>
                          <w:p w:rsidR="00E43391" w:rsidRPr="00C84677" w:rsidRDefault="00E43391" w:rsidP="00734817">
                            <w:pPr>
                              <w:spacing w:line="276" w:lineRule="auto"/>
                              <w:jc w:val="right"/>
                              <w:rPr>
                                <w:b/>
                                <w:sz w:val="28"/>
                                <w:szCs w:val="28"/>
                              </w:rPr>
                            </w:pPr>
                          </w:p>
                          <w:p w:rsidR="00E43391" w:rsidRDefault="00BF36DD" w:rsidP="00734817">
                            <w:pPr>
                              <w:spacing w:line="276" w:lineRule="auto"/>
                              <w:jc w:val="right"/>
                              <w:rPr>
                                <w:b/>
                                <w:sz w:val="28"/>
                                <w:szCs w:val="28"/>
                              </w:rPr>
                            </w:pPr>
                            <w:r>
                              <w:rPr>
                                <w:b/>
                                <w:sz w:val="28"/>
                                <w:szCs w:val="28"/>
                              </w:rPr>
                              <w:t>Darren Mire</w:t>
                            </w:r>
                          </w:p>
                          <w:p w:rsidR="00BF36DD" w:rsidRPr="00C84677" w:rsidRDefault="00BF36DD" w:rsidP="00734817">
                            <w:pPr>
                              <w:spacing w:line="276" w:lineRule="auto"/>
                              <w:jc w:val="right"/>
                              <w:rPr>
                                <w:b/>
                                <w:sz w:val="28"/>
                                <w:szCs w:val="28"/>
                              </w:rPr>
                            </w:pPr>
                          </w:p>
                          <w:p w:rsidR="00BF36DD" w:rsidRDefault="00BF36DD" w:rsidP="00734817">
                            <w:pPr>
                              <w:spacing w:line="276" w:lineRule="auto"/>
                              <w:jc w:val="right"/>
                              <w:rPr>
                                <w:b/>
                                <w:sz w:val="28"/>
                                <w:szCs w:val="28"/>
                              </w:rPr>
                            </w:pPr>
                            <w:r>
                              <w:rPr>
                                <w:b/>
                                <w:sz w:val="28"/>
                                <w:szCs w:val="28"/>
                              </w:rPr>
                              <w:t>Sonia A. Perez</w:t>
                            </w:r>
                          </w:p>
                          <w:p w:rsidR="00BF36DD" w:rsidRDefault="00BF36DD" w:rsidP="00734817">
                            <w:pPr>
                              <w:spacing w:line="276" w:lineRule="auto"/>
                              <w:jc w:val="right"/>
                              <w:rPr>
                                <w:b/>
                                <w:sz w:val="28"/>
                                <w:szCs w:val="28"/>
                              </w:rPr>
                            </w:pPr>
                          </w:p>
                          <w:p w:rsidR="00BF36DD" w:rsidRDefault="00BF36DD" w:rsidP="00734817">
                            <w:pPr>
                              <w:spacing w:line="276" w:lineRule="auto"/>
                              <w:jc w:val="right"/>
                              <w:rPr>
                                <w:b/>
                                <w:sz w:val="28"/>
                                <w:szCs w:val="28"/>
                              </w:rPr>
                            </w:pPr>
                            <w:r>
                              <w:rPr>
                                <w:b/>
                                <w:sz w:val="28"/>
                                <w:szCs w:val="28"/>
                              </w:rPr>
                              <w:t>Wilbert D. Pryor</w:t>
                            </w:r>
                          </w:p>
                          <w:p w:rsidR="00BF36DD" w:rsidRDefault="00BF36DD" w:rsidP="00734817">
                            <w:pPr>
                              <w:spacing w:line="276" w:lineRule="auto"/>
                              <w:jc w:val="right"/>
                              <w:rPr>
                                <w:b/>
                                <w:sz w:val="28"/>
                                <w:szCs w:val="28"/>
                              </w:rPr>
                            </w:pPr>
                          </w:p>
                          <w:p w:rsidR="00BF36DD" w:rsidRDefault="00BF36DD" w:rsidP="00BF36DD">
                            <w:pPr>
                              <w:spacing w:line="276" w:lineRule="auto"/>
                              <w:rPr>
                                <w:b/>
                                <w:sz w:val="28"/>
                                <w:szCs w:val="28"/>
                              </w:rPr>
                            </w:pPr>
                            <w:r>
                              <w:rPr>
                                <w:b/>
                                <w:sz w:val="28"/>
                                <w:szCs w:val="28"/>
                              </w:rPr>
                              <w:tab/>
                            </w:r>
                            <w:r>
                              <w:rPr>
                                <w:b/>
                                <w:sz w:val="28"/>
                                <w:szCs w:val="28"/>
                              </w:rPr>
                              <w:tab/>
                              <w:t>T. Jay Seale III</w:t>
                            </w:r>
                          </w:p>
                          <w:p w:rsidR="00BF36DD" w:rsidRDefault="00BF36DD" w:rsidP="00734817">
                            <w:pPr>
                              <w:spacing w:line="276" w:lineRule="auto"/>
                              <w:jc w:val="right"/>
                              <w:rPr>
                                <w:b/>
                                <w:sz w:val="28"/>
                                <w:szCs w:val="28"/>
                              </w:rPr>
                            </w:pPr>
                          </w:p>
                          <w:p w:rsidR="00E43391" w:rsidRPr="00C84677" w:rsidRDefault="00E43391" w:rsidP="00734817">
                            <w:pPr>
                              <w:spacing w:line="276" w:lineRule="auto"/>
                              <w:jc w:val="right"/>
                              <w:rPr>
                                <w:b/>
                                <w:sz w:val="28"/>
                                <w:szCs w:val="28"/>
                              </w:rPr>
                            </w:pPr>
                            <w:r w:rsidRPr="00C84677">
                              <w:rPr>
                                <w:b/>
                                <w:sz w:val="28"/>
                                <w:szCs w:val="28"/>
                              </w:rPr>
                              <w:t>Collis B. Temple III</w:t>
                            </w:r>
                          </w:p>
                          <w:p w:rsidR="00E43391" w:rsidRPr="00C84677" w:rsidRDefault="00E43391" w:rsidP="00734817">
                            <w:pPr>
                              <w:spacing w:line="276" w:lineRule="auto"/>
                              <w:jc w:val="right"/>
                              <w:rPr>
                                <w:b/>
                                <w:sz w:val="28"/>
                                <w:szCs w:val="28"/>
                              </w:rPr>
                            </w:pPr>
                          </w:p>
                          <w:p w:rsidR="00E43391" w:rsidRPr="00C84677" w:rsidRDefault="00E43391" w:rsidP="00734817">
                            <w:pPr>
                              <w:spacing w:line="276" w:lineRule="auto"/>
                              <w:jc w:val="right"/>
                              <w:rPr>
                                <w:b/>
                                <w:sz w:val="28"/>
                                <w:szCs w:val="28"/>
                              </w:rPr>
                            </w:pPr>
                            <w:r w:rsidRPr="00C84677">
                              <w:rPr>
                                <w:b/>
                                <w:sz w:val="28"/>
                                <w:szCs w:val="28"/>
                              </w:rPr>
                              <w:t>J</w:t>
                            </w:r>
                            <w:r w:rsidR="00BF36DD">
                              <w:rPr>
                                <w:b/>
                                <w:sz w:val="28"/>
                                <w:szCs w:val="28"/>
                              </w:rPr>
                              <w:t>acqueline V. Wyatt</w:t>
                            </w:r>
                          </w:p>
                          <w:p w:rsidR="00E43391" w:rsidRPr="00C84677" w:rsidRDefault="00E43391" w:rsidP="00734817">
                            <w:pPr>
                              <w:spacing w:line="276" w:lineRule="auto"/>
                              <w:jc w:val="right"/>
                              <w:rPr>
                                <w:b/>
                                <w:sz w:val="28"/>
                                <w:szCs w:val="28"/>
                              </w:rPr>
                            </w:pPr>
                          </w:p>
                          <w:p w:rsidR="00E43391" w:rsidRPr="00C84677" w:rsidRDefault="00BF36DD" w:rsidP="00734817">
                            <w:pPr>
                              <w:jc w:val="right"/>
                              <w:rPr>
                                <w:b/>
                                <w:sz w:val="28"/>
                                <w:szCs w:val="28"/>
                              </w:rPr>
                            </w:pPr>
                            <w:proofErr w:type="spellStart"/>
                            <w:r>
                              <w:rPr>
                                <w:b/>
                                <w:sz w:val="28"/>
                                <w:szCs w:val="28"/>
                              </w:rPr>
                              <w:t>Adarian</w:t>
                            </w:r>
                            <w:proofErr w:type="spellEnd"/>
                            <w:r>
                              <w:rPr>
                                <w:b/>
                                <w:sz w:val="28"/>
                                <w:szCs w:val="28"/>
                              </w:rPr>
                              <w:t xml:space="preserve"> D. Williams</w:t>
                            </w:r>
                          </w:p>
                          <w:p w:rsidR="00E43391" w:rsidRPr="00C84677" w:rsidRDefault="00E43391" w:rsidP="00734817">
                            <w:pPr>
                              <w:spacing w:line="276" w:lineRule="auto"/>
                              <w:jc w:val="right"/>
                              <w:rPr>
                                <w:i/>
                                <w:sz w:val="32"/>
                                <w:szCs w:val="32"/>
                              </w:rPr>
                            </w:pPr>
                            <w:r w:rsidRPr="00C84677">
                              <w:rPr>
                                <w:i/>
                                <w:sz w:val="28"/>
                                <w:szCs w:val="28"/>
                              </w:rPr>
                              <w:t>Student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21B17" id="_x0000_t202" coordsize="21600,21600" o:spt="202" path="m,l,21600r21600,l21600,xe">
                <v:stroke joinstyle="miter"/>
                <v:path gradientshapeok="t" o:connecttype="rect"/>
              </v:shapetype>
              <v:shape id="Text Box 3" o:spid="_x0000_s1026" type="#_x0000_t202" style="position:absolute;margin-left:234pt;margin-top:13.9pt;width:198pt;height:3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" filled="f" stroked="f">
                <v:path arrowok="t"/>
                <v:textbox>
                  <w:txbxContent>
                    <w:p w:rsidR="00E43391" w:rsidRPr="00C84677" w:rsidRDefault="00BF36DD" w:rsidP="00734817">
                      <w:pPr>
                        <w:spacing w:line="276" w:lineRule="auto"/>
                        <w:jc w:val="right"/>
                        <w:rPr>
                          <w:b/>
                          <w:sz w:val="28"/>
                          <w:szCs w:val="28"/>
                        </w:rPr>
                      </w:pPr>
                      <w:r>
                        <w:rPr>
                          <w:b/>
                          <w:sz w:val="28"/>
                          <w:szCs w:val="28"/>
                        </w:rPr>
                        <w:t>Charles l. McDonald</w:t>
                      </w:r>
                    </w:p>
                    <w:p w:rsidR="00E43391" w:rsidRPr="00C84677" w:rsidRDefault="00E43391" w:rsidP="00734817">
                      <w:pPr>
                        <w:spacing w:line="276" w:lineRule="auto"/>
                        <w:jc w:val="right"/>
                        <w:rPr>
                          <w:b/>
                          <w:sz w:val="28"/>
                          <w:szCs w:val="28"/>
                        </w:rPr>
                      </w:pPr>
                    </w:p>
                    <w:p w:rsidR="00E43391" w:rsidRDefault="00BF36DD" w:rsidP="00734817">
                      <w:pPr>
                        <w:spacing w:line="276" w:lineRule="auto"/>
                        <w:jc w:val="right"/>
                        <w:rPr>
                          <w:b/>
                          <w:sz w:val="28"/>
                          <w:szCs w:val="28"/>
                        </w:rPr>
                      </w:pPr>
                      <w:r>
                        <w:rPr>
                          <w:b/>
                          <w:sz w:val="28"/>
                          <w:szCs w:val="28"/>
                        </w:rPr>
                        <w:t>Darren Mire</w:t>
                      </w:r>
                    </w:p>
                    <w:p w:rsidR="00BF36DD" w:rsidRPr="00C84677" w:rsidRDefault="00BF36DD" w:rsidP="00734817">
                      <w:pPr>
                        <w:spacing w:line="276" w:lineRule="auto"/>
                        <w:jc w:val="right"/>
                        <w:rPr>
                          <w:b/>
                          <w:sz w:val="28"/>
                          <w:szCs w:val="28"/>
                        </w:rPr>
                      </w:pPr>
                    </w:p>
                    <w:p w:rsidR="00BF36DD" w:rsidRDefault="00BF36DD" w:rsidP="00734817">
                      <w:pPr>
                        <w:spacing w:line="276" w:lineRule="auto"/>
                        <w:jc w:val="right"/>
                        <w:rPr>
                          <w:b/>
                          <w:sz w:val="28"/>
                          <w:szCs w:val="28"/>
                        </w:rPr>
                      </w:pPr>
                      <w:r>
                        <w:rPr>
                          <w:b/>
                          <w:sz w:val="28"/>
                          <w:szCs w:val="28"/>
                        </w:rPr>
                        <w:t>Sonia A. Perez</w:t>
                      </w:r>
                    </w:p>
                    <w:p w:rsidR="00BF36DD" w:rsidRDefault="00BF36DD" w:rsidP="00734817">
                      <w:pPr>
                        <w:spacing w:line="276" w:lineRule="auto"/>
                        <w:jc w:val="right"/>
                        <w:rPr>
                          <w:b/>
                          <w:sz w:val="28"/>
                          <w:szCs w:val="28"/>
                        </w:rPr>
                      </w:pPr>
                    </w:p>
                    <w:p w:rsidR="00BF36DD" w:rsidRDefault="00BF36DD" w:rsidP="00734817">
                      <w:pPr>
                        <w:spacing w:line="276" w:lineRule="auto"/>
                        <w:jc w:val="right"/>
                        <w:rPr>
                          <w:b/>
                          <w:sz w:val="28"/>
                          <w:szCs w:val="28"/>
                        </w:rPr>
                      </w:pPr>
                      <w:r>
                        <w:rPr>
                          <w:b/>
                          <w:sz w:val="28"/>
                          <w:szCs w:val="28"/>
                        </w:rPr>
                        <w:t>Wilbert D. Pryor</w:t>
                      </w:r>
                    </w:p>
                    <w:p w:rsidR="00BF36DD" w:rsidRDefault="00BF36DD" w:rsidP="00734817">
                      <w:pPr>
                        <w:spacing w:line="276" w:lineRule="auto"/>
                        <w:jc w:val="right"/>
                        <w:rPr>
                          <w:b/>
                          <w:sz w:val="28"/>
                          <w:szCs w:val="28"/>
                        </w:rPr>
                      </w:pPr>
                    </w:p>
                    <w:p w:rsidR="00BF36DD" w:rsidRDefault="00BF36DD" w:rsidP="00BF36DD">
                      <w:pPr>
                        <w:spacing w:line="276" w:lineRule="auto"/>
                        <w:rPr>
                          <w:b/>
                          <w:sz w:val="28"/>
                          <w:szCs w:val="28"/>
                        </w:rPr>
                      </w:pPr>
                      <w:r>
                        <w:rPr>
                          <w:b/>
                          <w:sz w:val="28"/>
                          <w:szCs w:val="28"/>
                        </w:rPr>
                        <w:tab/>
                      </w:r>
                      <w:r>
                        <w:rPr>
                          <w:b/>
                          <w:sz w:val="28"/>
                          <w:szCs w:val="28"/>
                        </w:rPr>
                        <w:tab/>
                        <w:t>T. Jay Seale III</w:t>
                      </w:r>
                    </w:p>
                    <w:p w:rsidR="00BF36DD" w:rsidRDefault="00BF36DD" w:rsidP="00734817">
                      <w:pPr>
                        <w:spacing w:line="276" w:lineRule="auto"/>
                        <w:jc w:val="right"/>
                        <w:rPr>
                          <w:b/>
                          <w:sz w:val="28"/>
                          <w:szCs w:val="28"/>
                        </w:rPr>
                      </w:pPr>
                    </w:p>
                    <w:p w:rsidR="00E43391" w:rsidRPr="00C84677" w:rsidRDefault="00E43391" w:rsidP="00734817">
                      <w:pPr>
                        <w:spacing w:line="276" w:lineRule="auto"/>
                        <w:jc w:val="right"/>
                        <w:rPr>
                          <w:b/>
                          <w:sz w:val="28"/>
                          <w:szCs w:val="28"/>
                        </w:rPr>
                      </w:pPr>
                      <w:r w:rsidRPr="00C84677">
                        <w:rPr>
                          <w:b/>
                          <w:sz w:val="28"/>
                          <w:szCs w:val="28"/>
                        </w:rPr>
                        <w:t>Collis B. Temple III</w:t>
                      </w:r>
                    </w:p>
                    <w:p w:rsidR="00E43391" w:rsidRPr="00C84677" w:rsidRDefault="00E43391" w:rsidP="00734817">
                      <w:pPr>
                        <w:spacing w:line="276" w:lineRule="auto"/>
                        <w:jc w:val="right"/>
                        <w:rPr>
                          <w:b/>
                          <w:sz w:val="28"/>
                          <w:szCs w:val="28"/>
                        </w:rPr>
                      </w:pPr>
                    </w:p>
                    <w:p w:rsidR="00E43391" w:rsidRPr="00C84677" w:rsidRDefault="00E43391" w:rsidP="00734817">
                      <w:pPr>
                        <w:spacing w:line="276" w:lineRule="auto"/>
                        <w:jc w:val="right"/>
                        <w:rPr>
                          <w:b/>
                          <w:sz w:val="28"/>
                          <w:szCs w:val="28"/>
                        </w:rPr>
                      </w:pPr>
                      <w:r w:rsidRPr="00C84677">
                        <w:rPr>
                          <w:b/>
                          <w:sz w:val="28"/>
                          <w:szCs w:val="28"/>
                        </w:rPr>
                        <w:t>J</w:t>
                      </w:r>
                      <w:r w:rsidR="00BF36DD">
                        <w:rPr>
                          <w:b/>
                          <w:sz w:val="28"/>
                          <w:szCs w:val="28"/>
                        </w:rPr>
                        <w:t>acqueline V. Wyatt</w:t>
                      </w:r>
                    </w:p>
                    <w:p w:rsidR="00E43391" w:rsidRPr="00C84677" w:rsidRDefault="00E43391" w:rsidP="00734817">
                      <w:pPr>
                        <w:spacing w:line="276" w:lineRule="auto"/>
                        <w:jc w:val="right"/>
                        <w:rPr>
                          <w:b/>
                          <w:sz w:val="28"/>
                          <w:szCs w:val="28"/>
                        </w:rPr>
                      </w:pPr>
                    </w:p>
                    <w:p w:rsidR="00E43391" w:rsidRPr="00C84677" w:rsidRDefault="00BF36DD" w:rsidP="00734817">
                      <w:pPr>
                        <w:jc w:val="right"/>
                        <w:rPr>
                          <w:b/>
                          <w:sz w:val="28"/>
                          <w:szCs w:val="28"/>
                        </w:rPr>
                      </w:pPr>
                      <w:r>
                        <w:rPr>
                          <w:b/>
                          <w:sz w:val="28"/>
                          <w:szCs w:val="28"/>
                        </w:rPr>
                        <w:t>Adarian D. Williams</w:t>
                      </w:r>
                    </w:p>
                    <w:p w:rsidR="00E43391" w:rsidRPr="00C84677" w:rsidRDefault="00E43391" w:rsidP="00734817">
                      <w:pPr>
                        <w:spacing w:line="276" w:lineRule="auto"/>
                        <w:jc w:val="right"/>
                        <w:rPr>
                          <w:i/>
                          <w:sz w:val="32"/>
                          <w:szCs w:val="32"/>
                        </w:rPr>
                      </w:pPr>
                      <w:r w:rsidRPr="00C84677">
                        <w:rPr>
                          <w:i/>
                          <w:sz w:val="28"/>
                          <w:szCs w:val="28"/>
                        </w:rPr>
                        <w:t>Student Member</w:t>
                      </w:r>
                    </w:p>
                  </w:txbxContent>
                </v:textbox>
                <w10:anchorlock/>
              </v:shape>
            </w:pict>
          </mc:Fallback>
        </mc:AlternateContent>
      </w:r>
      <w:r w:rsidRPr="004848D0">
        <w:rPr>
          <w:noProof/>
          <w:lang w:eastAsia="en-US"/>
        </w:rPr>
        <mc:AlternateContent>
          <mc:Choice Requires="wps">
            <w:drawing>
              <wp:anchor distT="0" distB="0" distL="114300" distR="114300" simplePos="0" relativeHeight="251659264" behindDoc="0" locked="1" layoutInCell="1" allowOverlap="1" wp14:anchorId="09B191CB" wp14:editId="7C32D835">
                <wp:simplePos x="0" y="0"/>
                <wp:positionH relativeFrom="column">
                  <wp:posOffset>-83820</wp:posOffset>
                </wp:positionH>
                <wp:positionV relativeFrom="paragraph">
                  <wp:posOffset>207010</wp:posOffset>
                </wp:positionV>
                <wp:extent cx="2628900" cy="3848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848100"/>
                        </a:xfrm>
                        <a:prstGeom prst="rect">
                          <a:avLst/>
                        </a:prstGeom>
                        <a:noFill/>
                        <a:ln>
                          <a:noFill/>
                        </a:ln>
                        <a:effectLst/>
                        <a:extLst>
                          <a:ext uri="{FAA26D3D-D897-4be2-8F04-BA451C77F1D7}"/>
                          <a:ext uri="{C572A759-6A51-4108-AA02-DFA0A04FC94B}"/>
                        </a:extLst>
                      </wps:spPr>
                      <wps:txbx>
                        <w:txbxContent>
                          <w:p w:rsidR="00916383" w:rsidRPr="00190FF4" w:rsidRDefault="00916383" w:rsidP="00916383">
                            <w:pPr>
                              <w:rPr>
                                <w:b/>
                                <w:sz w:val="28"/>
                                <w:szCs w:val="28"/>
                              </w:rPr>
                            </w:pPr>
                            <w:r w:rsidRPr="00190FF4">
                              <w:rPr>
                                <w:b/>
                                <w:sz w:val="28"/>
                                <w:szCs w:val="28"/>
                              </w:rPr>
                              <w:t>R</w:t>
                            </w:r>
                            <w:r w:rsidR="00BF36DD">
                              <w:rPr>
                                <w:b/>
                                <w:sz w:val="28"/>
                                <w:szCs w:val="28"/>
                              </w:rPr>
                              <w:t xml:space="preserve">ichard A. </w:t>
                            </w:r>
                            <w:proofErr w:type="spellStart"/>
                            <w:r w:rsidR="00BF36DD">
                              <w:rPr>
                                <w:b/>
                                <w:sz w:val="28"/>
                                <w:szCs w:val="28"/>
                              </w:rPr>
                              <w:t>Lipsey</w:t>
                            </w:r>
                            <w:proofErr w:type="spellEnd"/>
                          </w:p>
                          <w:p w:rsidR="00916383" w:rsidRPr="00190FF4" w:rsidRDefault="00916383" w:rsidP="00916383">
                            <w:pPr>
                              <w:rPr>
                                <w:i/>
                                <w:sz w:val="28"/>
                                <w:szCs w:val="28"/>
                              </w:rPr>
                            </w:pPr>
                            <w:r w:rsidRPr="00190FF4">
                              <w:rPr>
                                <w:i/>
                                <w:sz w:val="28"/>
                                <w:szCs w:val="28"/>
                              </w:rPr>
                              <w:t>Chair</w:t>
                            </w:r>
                          </w:p>
                          <w:p w:rsidR="00916383" w:rsidRDefault="00916383"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 xml:space="preserve">Edward D. </w:t>
                            </w:r>
                            <w:proofErr w:type="spellStart"/>
                            <w:r>
                              <w:rPr>
                                <w:b/>
                                <w:sz w:val="28"/>
                                <w:szCs w:val="28"/>
                              </w:rPr>
                              <w:t>Markle</w:t>
                            </w:r>
                            <w:proofErr w:type="spellEnd"/>
                          </w:p>
                          <w:p w:rsidR="00E43391" w:rsidRPr="00C84677" w:rsidRDefault="00E43391" w:rsidP="00734817">
                            <w:pPr>
                              <w:rPr>
                                <w:i/>
                                <w:sz w:val="28"/>
                                <w:szCs w:val="28"/>
                              </w:rPr>
                            </w:pPr>
                            <w:r w:rsidRPr="00C84677">
                              <w:rPr>
                                <w:i/>
                                <w:sz w:val="28"/>
                                <w:szCs w:val="28"/>
                              </w:rPr>
                              <w:t>Vice Chair</w:t>
                            </w:r>
                          </w:p>
                          <w:p w:rsidR="00E43391" w:rsidRPr="00C84677" w:rsidRDefault="00E43391" w:rsidP="00734817">
                            <w:pPr>
                              <w:spacing w:line="276" w:lineRule="auto"/>
                              <w:rPr>
                                <w:b/>
                                <w:sz w:val="28"/>
                                <w:szCs w:val="28"/>
                              </w:rPr>
                            </w:pPr>
                          </w:p>
                          <w:p w:rsidR="00BF36DD" w:rsidRPr="00C84677" w:rsidRDefault="00BF36DD" w:rsidP="00BF36DD">
                            <w:pPr>
                              <w:spacing w:line="276" w:lineRule="auto"/>
                              <w:rPr>
                                <w:b/>
                                <w:sz w:val="28"/>
                                <w:szCs w:val="28"/>
                              </w:rPr>
                            </w:pPr>
                            <w:r w:rsidRPr="00C84677">
                              <w:rPr>
                                <w:b/>
                                <w:sz w:val="28"/>
                                <w:szCs w:val="28"/>
                              </w:rPr>
                              <w:t xml:space="preserve">Marty J. </w:t>
                            </w:r>
                            <w:proofErr w:type="spellStart"/>
                            <w:r w:rsidRPr="00C84677">
                              <w:rPr>
                                <w:b/>
                                <w:sz w:val="28"/>
                                <w:szCs w:val="28"/>
                              </w:rPr>
                              <w:t>Chabert</w:t>
                            </w:r>
                            <w:proofErr w:type="spellEnd"/>
                          </w:p>
                          <w:p w:rsidR="00BF36DD" w:rsidRPr="00C84677" w:rsidRDefault="00BF36DD" w:rsidP="00BF36DD">
                            <w:pPr>
                              <w:rPr>
                                <w:i/>
                                <w:sz w:val="28"/>
                                <w:szCs w:val="28"/>
                              </w:rPr>
                            </w:pPr>
                            <w:r w:rsidRPr="00C84677">
                              <w:rPr>
                                <w:i/>
                                <w:sz w:val="28"/>
                                <w:szCs w:val="28"/>
                              </w:rPr>
                              <w:t>Secretary</w:t>
                            </w:r>
                          </w:p>
                          <w:p w:rsidR="00E43391" w:rsidRPr="00C84677" w:rsidRDefault="00E43391" w:rsidP="00734817">
                            <w:pPr>
                              <w:spacing w:line="276" w:lineRule="auto"/>
                              <w:rPr>
                                <w:b/>
                                <w:sz w:val="28"/>
                                <w:szCs w:val="28"/>
                              </w:rPr>
                            </w:pPr>
                          </w:p>
                          <w:p w:rsidR="00E43391" w:rsidRPr="00C84677" w:rsidRDefault="00E43391" w:rsidP="00734817">
                            <w:pPr>
                              <w:spacing w:line="276" w:lineRule="auto"/>
                              <w:rPr>
                                <w:b/>
                                <w:sz w:val="28"/>
                                <w:szCs w:val="28"/>
                              </w:rPr>
                            </w:pPr>
                            <w:r w:rsidRPr="00C84677">
                              <w:rPr>
                                <w:b/>
                                <w:sz w:val="28"/>
                                <w:szCs w:val="28"/>
                              </w:rPr>
                              <w:t xml:space="preserve">Claudia H. </w:t>
                            </w:r>
                            <w:proofErr w:type="spellStart"/>
                            <w:r w:rsidRPr="00C84677">
                              <w:rPr>
                                <w:b/>
                                <w:sz w:val="28"/>
                                <w:szCs w:val="28"/>
                              </w:rPr>
                              <w:t>Adley</w:t>
                            </w:r>
                            <w:proofErr w:type="spellEnd"/>
                          </w:p>
                          <w:p w:rsidR="00E43391" w:rsidRPr="00C84677" w:rsidRDefault="00E43391"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Blake R. David</w:t>
                            </w:r>
                          </w:p>
                          <w:p w:rsidR="00E43391" w:rsidRPr="00C84677" w:rsidRDefault="00E43391"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Thomas G. Henning</w:t>
                            </w:r>
                          </w:p>
                          <w:p w:rsidR="00E43391" w:rsidRPr="00C84677" w:rsidRDefault="00E43391" w:rsidP="00734817">
                            <w:pPr>
                              <w:spacing w:line="276" w:lineRule="auto"/>
                              <w:rPr>
                                <w:b/>
                                <w:sz w:val="28"/>
                                <w:szCs w:val="28"/>
                              </w:rPr>
                            </w:pPr>
                          </w:p>
                          <w:p w:rsidR="00BF36DD" w:rsidRDefault="00BF36DD" w:rsidP="00BF36DD">
                            <w:pPr>
                              <w:spacing w:line="276" w:lineRule="auto"/>
                              <w:rPr>
                                <w:b/>
                                <w:sz w:val="28"/>
                                <w:szCs w:val="28"/>
                              </w:rPr>
                            </w:pPr>
                            <w:r w:rsidRPr="00C84677">
                              <w:rPr>
                                <w:b/>
                                <w:sz w:val="28"/>
                                <w:szCs w:val="28"/>
                              </w:rPr>
                              <w:t>Robert W. Levy</w:t>
                            </w:r>
                          </w:p>
                          <w:p w:rsidR="00BF36DD" w:rsidRDefault="00BF36DD" w:rsidP="00BF36DD">
                            <w:pPr>
                              <w:spacing w:line="276" w:lineRule="auto"/>
                              <w:rPr>
                                <w:b/>
                                <w:sz w:val="28"/>
                                <w:szCs w:val="28"/>
                              </w:rPr>
                            </w:pPr>
                          </w:p>
                          <w:p w:rsidR="00BF36DD" w:rsidRDefault="00BF36DD" w:rsidP="00BF36DD">
                            <w:pPr>
                              <w:spacing w:line="276" w:lineRule="auto"/>
                              <w:rPr>
                                <w:b/>
                                <w:sz w:val="28"/>
                                <w:szCs w:val="28"/>
                              </w:rPr>
                            </w:pPr>
                          </w:p>
                          <w:p w:rsidR="00BF36DD" w:rsidRDefault="00BF36DD" w:rsidP="00BF36DD">
                            <w:pPr>
                              <w:spacing w:line="276" w:lineRule="auto"/>
                              <w:rPr>
                                <w:b/>
                                <w:sz w:val="28"/>
                                <w:szCs w:val="28"/>
                              </w:rPr>
                            </w:pPr>
                          </w:p>
                          <w:p w:rsidR="00BF36DD" w:rsidRPr="00C84677" w:rsidRDefault="00BF36DD" w:rsidP="00BF36DD">
                            <w:pPr>
                              <w:spacing w:line="276" w:lineRule="auto"/>
                              <w:rPr>
                                <w:b/>
                                <w:sz w:val="28"/>
                                <w:szCs w:val="28"/>
                              </w:rPr>
                            </w:pPr>
                          </w:p>
                          <w:p w:rsidR="00E43391" w:rsidRPr="00C84677" w:rsidRDefault="00E43391" w:rsidP="00734817">
                            <w:pPr>
                              <w:spacing w:line="276" w:lineRule="auto"/>
                              <w:rPr>
                                <w:b/>
                                <w:sz w:val="28"/>
                                <w:szCs w:val="28"/>
                              </w:rPr>
                            </w:pPr>
                          </w:p>
                          <w:p w:rsidR="00E43391" w:rsidRPr="00C84677" w:rsidRDefault="00E43391" w:rsidP="00734817">
                            <w:pPr>
                              <w:spacing w:line="276" w:lineRule="auto"/>
                              <w:rPr>
                                <w:b/>
                                <w:sz w:val="28"/>
                                <w:szCs w:val="28"/>
                              </w:rPr>
                            </w:pPr>
                          </w:p>
                          <w:p w:rsidR="00E43391" w:rsidRPr="00C94958" w:rsidRDefault="00E43391" w:rsidP="00734817">
                            <w:pPr>
                              <w:spacing w:line="276" w:lineRule="auto"/>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91CB" id="Text Box 2" o:spid="_x0000_s1027" type="#_x0000_t202" style="position:absolute;margin-left:-6.6pt;margin-top:16.3pt;width:207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" filled="f" stroked="f">
                <v:path arrowok="t"/>
                <v:textbox>
                  <w:txbxContent>
                    <w:p w:rsidR="00916383" w:rsidRPr="00190FF4" w:rsidRDefault="00916383" w:rsidP="00916383">
                      <w:pPr>
                        <w:rPr>
                          <w:b/>
                          <w:sz w:val="28"/>
                          <w:szCs w:val="28"/>
                        </w:rPr>
                      </w:pPr>
                      <w:r w:rsidRPr="00190FF4">
                        <w:rPr>
                          <w:b/>
                          <w:sz w:val="28"/>
                          <w:szCs w:val="28"/>
                        </w:rPr>
                        <w:t>R</w:t>
                      </w:r>
                      <w:r w:rsidR="00BF36DD">
                        <w:rPr>
                          <w:b/>
                          <w:sz w:val="28"/>
                          <w:szCs w:val="28"/>
                        </w:rPr>
                        <w:t>ichard A. Lipsey</w:t>
                      </w:r>
                    </w:p>
                    <w:p w:rsidR="00916383" w:rsidRPr="00190FF4" w:rsidRDefault="00916383" w:rsidP="00916383">
                      <w:pPr>
                        <w:rPr>
                          <w:i/>
                          <w:sz w:val="28"/>
                          <w:szCs w:val="28"/>
                        </w:rPr>
                      </w:pPr>
                      <w:r w:rsidRPr="00190FF4">
                        <w:rPr>
                          <w:i/>
                          <w:sz w:val="28"/>
                          <w:szCs w:val="28"/>
                        </w:rPr>
                        <w:t>Chair</w:t>
                      </w:r>
                    </w:p>
                    <w:p w:rsidR="00916383" w:rsidRDefault="00916383"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Edward D. Markle</w:t>
                      </w:r>
                    </w:p>
                    <w:p w:rsidR="00E43391" w:rsidRPr="00C84677" w:rsidRDefault="00E43391" w:rsidP="00734817">
                      <w:pPr>
                        <w:rPr>
                          <w:i/>
                          <w:sz w:val="28"/>
                          <w:szCs w:val="28"/>
                        </w:rPr>
                      </w:pPr>
                      <w:r w:rsidRPr="00C84677">
                        <w:rPr>
                          <w:i/>
                          <w:sz w:val="28"/>
                          <w:szCs w:val="28"/>
                        </w:rPr>
                        <w:t>Vice Chair</w:t>
                      </w:r>
                    </w:p>
                    <w:p w:rsidR="00E43391" w:rsidRPr="00C84677" w:rsidRDefault="00E43391" w:rsidP="00734817">
                      <w:pPr>
                        <w:spacing w:line="276" w:lineRule="auto"/>
                        <w:rPr>
                          <w:b/>
                          <w:sz w:val="28"/>
                          <w:szCs w:val="28"/>
                        </w:rPr>
                      </w:pPr>
                    </w:p>
                    <w:p w:rsidR="00BF36DD" w:rsidRPr="00C84677" w:rsidRDefault="00BF36DD" w:rsidP="00BF36DD">
                      <w:pPr>
                        <w:spacing w:line="276" w:lineRule="auto"/>
                        <w:rPr>
                          <w:b/>
                          <w:sz w:val="28"/>
                          <w:szCs w:val="28"/>
                        </w:rPr>
                      </w:pPr>
                      <w:r w:rsidRPr="00C84677">
                        <w:rPr>
                          <w:b/>
                          <w:sz w:val="28"/>
                          <w:szCs w:val="28"/>
                        </w:rPr>
                        <w:t>Marty J. Chabert</w:t>
                      </w:r>
                    </w:p>
                    <w:p w:rsidR="00BF36DD" w:rsidRPr="00C84677" w:rsidRDefault="00BF36DD" w:rsidP="00BF36DD">
                      <w:pPr>
                        <w:rPr>
                          <w:i/>
                          <w:sz w:val="28"/>
                          <w:szCs w:val="28"/>
                        </w:rPr>
                      </w:pPr>
                      <w:r w:rsidRPr="00C84677">
                        <w:rPr>
                          <w:i/>
                          <w:sz w:val="28"/>
                          <w:szCs w:val="28"/>
                        </w:rPr>
                        <w:t>Secretary</w:t>
                      </w:r>
                    </w:p>
                    <w:p w:rsidR="00E43391" w:rsidRPr="00C84677" w:rsidRDefault="00E43391" w:rsidP="00734817">
                      <w:pPr>
                        <w:spacing w:line="276" w:lineRule="auto"/>
                        <w:rPr>
                          <w:b/>
                          <w:sz w:val="28"/>
                          <w:szCs w:val="28"/>
                        </w:rPr>
                      </w:pPr>
                    </w:p>
                    <w:p w:rsidR="00E43391" w:rsidRPr="00C84677" w:rsidRDefault="00E43391" w:rsidP="00734817">
                      <w:pPr>
                        <w:spacing w:line="276" w:lineRule="auto"/>
                        <w:rPr>
                          <w:b/>
                          <w:sz w:val="28"/>
                          <w:szCs w:val="28"/>
                        </w:rPr>
                      </w:pPr>
                      <w:r w:rsidRPr="00C84677">
                        <w:rPr>
                          <w:b/>
                          <w:sz w:val="28"/>
                          <w:szCs w:val="28"/>
                        </w:rPr>
                        <w:t>Claudia H. Adley</w:t>
                      </w:r>
                    </w:p>
                    <w:p w:rsidR="00E43391" w:rsidRPr="00C84677" w:rsidRDefault="00E43391"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Blake R. David</w:t>
                      </w:r>
                    </w:p>
                    <w:p w:rsidR="00E43391" w:rsidRPr="00C84677" w:rsidRDefault="00E43391" w:rsidP="00734817">
                      <w:pPr>
                        <w:spacing w:line="276" w:lineRule="auto"/>
                        <w:rPr>
                          <w:b/>
                          <w:sz w:val="28"/>
                          <w:szCs w:val="28"/>
                        </w:rPr>
                      </w:pPr>
                    </w:p>
                    <w:p w:rsidR="00E43391" w:rsidRPr="00C84677" w:rsidRDefault="00BF36DD" w:rsidP="00734817">
                      <w:pPr>
                        <w:spacing w:line="276" w:lineRule="auto"/>
                        <w:rPr>
                          <w:b/>
                          <w:sz w:val="28"/>
                          <w:szCs w:val="28"/>
                        </w:rPr>
                      </w:pPr>
                      <w:r>
                        <w:rPr>
                          <w:b/>
                          <w:sz w:val="28"/>
                          <w:szCs w:val="28"/>
                        </w:rPr>
                        <w:t>Thomas G. Henning</w:t>
                      </w:r>
                    </w:p>
                    <w:p w:rsidR="00E43391" w:rsidRPr="00C84677" w:rsidRDefault="00E43391" w:rsidP="00734817">
                      <w:pPr>
                        <w:spacing w:line="276" w:lineRule="auto"/>
                        <w:rPr>
                          <w:b/>
                          <w:sz w:val="28"/>
                          <w:szCs w:val="28"/>
                        </w:rPr>
                      </w:pPr>
                    </w:p>
                    <w:p w:rsidR="00BF36DD" w:rsidRDefault="00BF36DD" w:rsidP="00BF36DD">
                      <w:pPr>
                        <w:spacing w:line="276" w:lineRule="auto"/>
                        <w:rPr>
                          <w:b/>
                          <w:sz w:val="28"/>
                          <w:szCs w:val="28"/>
                        </w:rPr>
                      </w:pPr>
                      <w:r w:rsidRPr="00C84677">
                        <w:rPr>
                          <w:b/>
                          <w:sz w:val="28"/>
                          <w:szCs w:val="28"/>
                        </w:rPr>
                        <w:t>Robert W. Levy</w:t>
                      </w:r>
                    </w:p>
                    <w:p w:rsidR="00BF36DD" w:rsidRDefault="00BF36DD" w:rsidP="00BF36DD">
                      <w:pPr>
                        <w:spacing w:line="276" w:lineRule="auto"/>
                        <w:rPr>
                          <w:b/>
                          <w:sz w:val="28"/>
                          <w:szCs w:val="28"/>
                        </w:rPr>
                      </w:pPr>
                    </w:p>
                    <w:p w:rsidR="00BF36DD" w:rsidRDefault="00BF36DD" w:rsidP="00BF36DD">
                      <w:pPr>
                        <w:spacing w:line="276" w:lineRule="auto"/>
                        <w:rPr>
                          <w:b/>
                          <w:sz w:val="28"/>
                          <w:szCs w:val="28"/>
                        </w:rPr>
                      </w:pPr>
                    </w:p>
                    <w:p w:rsidR="00BF36DD" w:rsidRDefault="00BF36DD" w:rsidP="00BF36DD">
                      <w:pPr>
                        <w:spacing w:line="276" w:lineRule="auto"/>
                        <w:rPr>
                          <w:b/>
                          <w:sz w:val="28"/>
                          <w:szCs w:val="28"/>
                        </w:rPr>
                      </w:pPr>
                    </w:p>
                    <w:p w:rsidR="00BF36DD" w:rsidRPr="00C84677" w:rsidRDefault="00BF36DD" w:rsidP="00BF36DD">
                      <w:pPr>
                        <w:spacing w:line="276" w:lineRule="auto"/>
                        <w:rPr>
                          <w:b/>
                          <w:sz w:val="28"/>
                          <w:szCs w:val="28"/>
                        </w:rPr>
                      </w:pPr>
                    </w:p>
                    <w:p w:rsidR="00E43391" w:rsidRPr="00C84677" w:rsidRDefault="00E43391" w:rsidP="00734817">
                      <w:pPr>
                        <w:spacing w:line="276" w:lineRule="auto"/>
                        <w:rPr>
                          <w:b/>
                          <w:sz w:val="28"/>
                          <w:szCs w:val="28"/>
                        </w:rPr>
                      </w:pPr>
                    </w:p>
                    <w:p w:rsidR="00E43391" w:rsidRPr="00C84677" w:rsidRDefault="00E43391" w:rsidP="00734817">
                      <w:pPr>
                        <w:spacing w:line="276" w:lineRule="auto"/>
                        <w:rPr>
                          <w:b/>
                          <w:sz w:val="28"/>
                          <w:szCs w:val="28"/>
                        </w:rPr>
                      </w:pPr>
                    </w:p>
                    <w:p w:rsidR="00E43391" w:rsidRPr="00C94958" w:rsidRDefault="00E43391" w:rsidP="00734817">
                      <w:pPr>
                        <w:spacing w:line="276" w:lineRule="auto"/>
                        <w:rPr>
                          <w:b/>
                          <w:sz w:val="32"/>
                          <w:szCs w:val="32"/>
                        </w:rPr>
                      </w:pPr>
                    </w:p>
                  </w:txbxContent>
                </v:textbox>
                <w10:anchorlock/>
              </v:shape>
            </w:pict>
          </mc:Fallback>
        </mc:AlternateContent>
      </w:r>
    </w:p>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rPr>
      </w:pPr>
    </w:p>
    <w:p w:rsidR="00734817" w:rsidRPr="004848D0" w:rsidRDefault="00734817" w:rsidP="00734817">
      <w:pPr>
        <w:jc w:val="center"/>
        <w:rPr>
          <w:b/>
          <w:sz w:val="28"/>
          <w:szCs w:val="28"/>
        </w:rPr>
      </w:pPr>
      <w:r w:rsidRPr="004848D0">
        <w:rPr>
          <w:b/>
          <w:sz w:val="28"/>
          <w:szCs w:val="28"/>
        </w:rPr>
        <w:t xml:space="preserve">Joseph C. </w:t>
      </w:r>
      <w:proofErr w:type="spellStart"/>
      <w:r w:rsidRPr="004848D0">
        <w:rPr>
          <w:b/>
          <w:sz w:val="28"/>
          <w:szCs w:val="28"/>
        </w:rPr>
        <w:t>Rallo</w:t>
      </w:r>
      <w:proofErr w:type="spellEnd"/>
      <w:r w:rsidRPr="004848D0">
        <w:rPr>
          <w:b/>
          <w:sz w:val="28"/>
          <w:szCs w:val="28"/>
        </w:rPr>
        <w:t>, Ph.D.</w:t>
      </w:r>
    </w:p>
    <w:p w:rsidR="00734817" w:rsidRPr="004848D0" w:rsidRDefault="00734817" w:rsidP="00734817">
      <w:pPr>
        <w:jc w:val="center"/>
        <w:rPr>
          <w:i/>
          <w:sz w:val="28"/>
          <w:szCs w:val="28"/>
        </w:rPr>
      </w:pPr>
      <w:r w:rsidRPr="004848D0">
        <w:rPr>
          <w:i/>
          <w:sz w:val="28"/>
          <w:szCs w:val="28"/>
        </w:rPr>
        <w:t>Commissioner of Higher Education</w:t>
      </w:r>
    </w:p>
    <w:p w:rsidR="00734817" w:rsidRPr="004848D0" w:rsidRDefault="00734817" w:rsidP="00734817"/>
    <w:p w:rsidR="00734817" w:rsidRPr="004848D0" w:rsidRDefault="00734817" w:rsidP="00734817"/>
    <w:p w:rsidR="00734817" w:rsidRPr="004848D0" w:rsidRDefault="00734817" w:rsidP="00734817"/>
    <w:p w:rsidR="00734817" w:rsidRPr="004848D0" w:rsidRDefault="00734817" w:rsidP="00734817">
      <w:pPr>
        <w:jc w:val="center"/>
      </w:pPr>
    </w:p>
    <w:p w:rsidR="00734817" w:rsidRPr="004848D0" w:rsidRDefault="00734817" w:rsidP="00734817">
      <w:pPr>
        <w:jc w:val="center"/>
      </w:pPr>
    </w:p>
    <w:p w:rsidR="00734817" w:rsidRPr="004848D0" w:rsidRDefault="00734817" w:rsidP="00734817"/>
    <w:p w:rsidR="00A77074" w:rsidRPr="004848D0" w:rsidRDefault="00A77074" w:rsidP="00734817"/>
    <w:p w:rsidR="00A77074" w:rsidRPr="004848D0" w:rsidRDefault="00A77074" w:rsidP="00734817"/>
    <w:p w:rsidR="00916383" w:rsidRPr="004848D0" w:rsidRDefault="00916383" w:rsidP="00734817"/>
    <w:p w:rsidR="00A77074" w:rsidRPr="004848D0" w:rsidRDefault="00A77074" w:rsidP="00734817"/>
    <w:p w:rsidR="00734817" w:rsidRPr="004848D0" w:rsidRDefault="00734817" w:rsidP="00734817">
      <w:pPr>
        <w:jc w:val="center"/>
        <w:rPr>
          <w:b/>
          <w:sz w:val="22"/>
          <w:szCs w:val="22"/>
        </w:rPr>
      </w:pPr>
      <w:r w:rsidRPr="004848D0">
        <w:rPr>
          <w:b/>
          <w:sz w:val="22"/>
          <w:szCs w:val="22"/>
        </w:rPr>
        <w:lastRenderedPageBreak/>
        <w:t>TABLE OF CONTENTS</w:t>
      </w:r>
    </w:p>
    <w:p w:rsidR="00734817" w:rsidRPr="004848D0" w:rsidRDefault="00734817" w:rsidP="00734817">
      <w:pPr>
        <w:rPr>
          <w:sz w:val="22"/>
          <w:szCs w:val="22"/>
          <w:u w:val="single"/>
        </w:rPr>
      </w:pPr>
    </w:p>
    <w:p w:rsidR="00734817" w:rsidRPr="004848D0" w:rsidRDefault="00734817" w:rsidP="00734817">
      <w:pPr>
        <w:rPr>
          <w:sz w:val="22"/>
          <w:szCs w:val="22"/>
          <w:u w:val="single"/>
        </w:rPr>
      </w:pPr>
    </w:p>
    <w:p w:rsidR="00734817" w:rsidRPr="004848D0" w:rsidRDefault="009D3914" w:rsidP="00734817">
      <w:pPr>
        <w:pStyle w:val="TOC1"/>
        <w:tabs>
          <w:tab w:val="right" w:leader="dot" w:pos="9360"/>
        </w:tabs>
        <w:rPr>
          <w:sz w:val="22"/>
          <w:szCs w:val="22"/>
        </w:rPr>
      </w:pPr>
      <w:r>
        <w:rPr>
          <w:sz w:val="22"/>
          <w:szCs w:val="22"/>
        </w:rPr>
        <w:t>Introduction and Background</w:t>
      </w:r>
      <w:r w:rsidR="006C30F9" w:rsidRPr="004848D0">
        <w:rPr>
          <w:sz w:val="22"/>
          <w:szCs w:val="22"/>
        </w:rPr>
        <w:tab/>
      </w:r>
      <w:r w:rsidR="002F0977">
        <w:rPr>
          <w:sz w:val="22"/>
          <w:szCs w:val="22"/>
        </w:rPr>
        <w:t>4</w:t>
      </w:r>
    </w:p>
    <w:p w:rsidR="00734817" w:rsidRPr="004848D0" w:rsidRDefault="00734817" w:rsidP="00734817">
      <w:pPr>
        <w:pStyle w:val="TOC1"/>
        <w:rPr>
          <w:sz w:val="22"/>
          <w:szCs w:val="22"/>
        </w:rPr>
      </w:pPr>
    </w:p>
    <w:p w:rsidR="00734817" w:rsidRPr="004848D0" w:rsidRDefault="009D3914" w:rsidP="00734817">
      <w:pPr>
        <w:pStyle w:val="TOC1"/>
        <w:tabs>
          <w:tab w:val="right" w:leader="dot" w:pos="9360"/>
        </w:tabs>
        <w:rPr>
          <w:sz w:val="22"/>
          <w:szCs w:val="22"/>
        </w:rPr>
      </w:pPr>
      <w:r>
        <w:rPr>
          <w:sz w:val="22"/>
          <w:szCs w:val="22"/>
        </w:rPr>
        <w:t>Process</w:t>
      </w:r>
      <w:r w:rsidR="006C30F9" w:rsidRPr="004848D0">
        <w:rPr>
          <w:sz w:val="22"/>
          <w:szCs w:val="22"/>
        </w:rPr>
        <w:tab/>
      </w:r>
      <w:r w:rsidR="005863AD">
        <w:rPr>
          <w:sz w:val="22"/>
          <w:szCs w:val="22"/>
        </w:rPr>
        <w:t>5</w:t>
      </w:r>
    </w:p>
    <w:p w:rsidR="00734817" w:rsidRPr="004848D0" w:rsidRDefault="00734817" w:rsidP="00734817">
      <w:pPr>
        <w:pStyle w:val="TOC1"/>
        <w:rPr>
          <w:sz w:val="22"/>
          <w:szCs w:val="22"/>
        </w:rPr>
      </w:pPr>
    </w:p>
    <w:p w:rsidR="00734817" w:rsidRPr="004848D0" w:rsidRDefault="003B097C" w:rsidP="00734817">
      <w:pPr>
        <w:pStyle w:val="TOC1"/>
        <w:tabs>
          <w:tab w:val="right" w:leader="dot" w:pos="9360"/>
        </w:tabs>
        <w:rPr>
          <w:sz w:val="22"/>
          <w:szCs w:val="22"/>
        </w:rPr>
      </w:pPr>
      <w:r>
        <w:rPr>
          <w:sz w:val="22"/>
          <w:szCs w:val="22"/>
        </w:rPr>
        <w:t>Summary</w:t>
      </w:r>
      <w:r w:rsidR="009D3914">
        <w:rPr>
          <w:sz w:val="22"/>
          <w:szCs w:val="22"/>
        </w:rPr>
        <w:t xml:space="preserve"> and Recommendation</w:t>
      </w:r>
      <w:r w:rsidR="006C30F9" w:rsidRPr="004848D0">
        <w:rPr>
          <w:sz w:val="22"/>
          <w:szCs w:val="22"/>
        </w:rPr>
        <w:tab/>
      </w:r>
      <w:r w:rsidR="00CF12E8">
        <w:rPr>
          <w:sz w:val="22"/>
          <w:szCs w:val="22"/>
        </w:rPr>
        <w:t>7</w:t>
      </w:r>
    </w:p>
    <w:p w:rsidR="00734817" w:rsidRPr="004848D0" w:rsidRDefault="00734817" w:rsidP="00734817">
      <w:pPr>
        <w:rPr>
          <w:sz w:val="22"/>
          <w:szCs w:val="22"/>
        </w:rPr>
      </w:pPr>
    </w:p>
    <w:p w:rsidR="00D3746E" w:rsidRPr="004848D0" w:rsidRDefault="00D3746E" w:rsidP="00D3746E">
      <w:pPr>
        <w:rPr>
          <w:sz w:val="22"/>
          <w:szCs w:val="22"/>
        </w:rPr>
      </w:pPr>
      <w:r w:rsidRPr="004848D0">
        <w:rPr>
          <w:sz w:val="22"/>
          <w:szCs w:val="22"/>
        </w:rPr>
        <w:t>A</w:t>
      </w:r>
      <w:r w:rsidR="003B097C">
        <w:rPr>
          <w:sz w:val="22"/>
          <w:szCs w:val="22"/>
        </w:rPr>
        <w:t>ttachments</w:t>
      </w:r>
      <w:r w:rsidRPr="004848D0">
        <w:rPr>
          <w:sz w:val="22"/>
          <w:szCs w:val="22"/>
        </w:rPr>
        <w:t xml:space="preserve"> </w:t>
      </w:r>
      <w:proofErr w:type="gramStart"/>
      <w:r w:rsidRPr="004848D0">
        <w:rPr>
          <w:sz w:val="22"/>
          <w:szCs w:val="22"/>
        </w:rPr>
        <w:t>…………...………………………………………………………………………</w:t>
      </w:r>
      <w:r w:rsidR="006376AF" w:rsidRPr="004848D0">
        <w:rPr>
          <w:sz w:val="22"/>
          <w:szCs w:val="22"/>
        </w:rPr>
        <w:t>………...</w:t>
      </w:r>
      <w:r w:rsidR="005C512B" w:rsidRPr="004848D0">
        <w:rPr>
          <w:sz w:val="22"/>
          <w:szCs w:val="22"/>
        </w:rPr>
        <w:t>..</w:t>
      </w:r>
      <w:r w:rsidR="009D3914">
        <w:rPr>
          <w:sz w:val="22"/>
          <w:szCs w:val="22"/>
        </w:rPr>
        <w:t>.</w:t>
      </w:r>
      <w:r w:rsidR="00074862">
        <w:rPr>
          <w:sz w:val="22"/>
          <w:szCs w:val="22"/>
        </w:rPr>
        <w:t>.8</w:t>
      </w:r>
      <w:proofErr w:type="gramEnd"/>
    </w:p>
    <w:p w:rsidR="00734817" w:rsidRPr="004848D0" w:rsidRDefault="00734817" w:rsidP="00734817">
      <w:pPr>
        <w:rPr>
          <w:sz w:val="22"/>
          <w:szCs w:val="22"/>
        </w:rPr>
      </w:pPr>
    </w:p>
    <w:p w:rsidR="00734817" w:rsidRPr="004848D0" w:rsidRDefault="00734817" w:rsidP="00734817">
      <w:pPr>
        <w:rPr>
          <w:sz w:val="22"/>
          <w:szCs w:val="22"/>
        </w:rPr>
      </w:pPr>
    </w:p>
    <w:p w:rsidR="00734817" w:rsidRPr="004848D0" w:rsidRDefault="00734817" w:rsidP="00734817"/>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A77074" w:rsidRPr="004848D0" w:rsidRDefault="00A77074" w:rsidP="00734817">
      <w:pPr>
        <w:pStyle w:val="ListParagraph"/>
        <w:spacing w:line="360" w:lineRule="auto"/>
        <w:ind w:left="0"/>
        <w:rPr>
          <w:rFonts w:ascii="Times New Roman" w:hAnsi="Times New Roman"/>
          <w:b/>
          <w:sz w:val="24"/>
          <w:szCs w:val="24"/>
        </w:rPr>
      </w:pPr>
    </w:p>
    <w:p w:rsidR="00916383" w:rsidRPr="004848D0" w:rsidRDefault="00916383" w:rsidP="00734817">
      <w:pPr>
        <w:pStyle w:val="ListParagraph"/>
        <w:spacing w:line="360" w:lineRule="auto"/>
        <w:ind w:left="0"/>
        <w:rPr>
          <w:rFonts w:ascii="Times New Roman" w:hAnsi="Times New Roman"/>
          <w:b/>
          <w:sz w:val="24"/>
          <w:szCs w:val="24"/>
        </w:rPr>
      </w:pPr>
    </w:p>
    <w:p w:rsidR="00A77074" w:rsidRDefault="00A77074" w:rsidP="00734817">
      <w:pPr>
        <w:pStyle w:val="ListParagraph"/>
        <w:spacing w:line="360" w:lineRule="auto"/>
        <w:ind w:left="0"/>
        <w:rPr>
          <w:rFonts w:ascii="Times New Roman" w:hAnsi="Times New Roman"/>
          <w:b/>
          <w:sz w:val="24"/>
          <w:szCs w:val="24"/>
        </w:rPr>
      </w:pPr>
    </w:p>
    <w:p w:rsidR="009D3914" w:rsidRDefault="009D3914" w:rsidP="00734817">
      <w:pPr>
        <w:pStyle w:val="ListParagraph"/>
        <w:spacing w:line="360" w:lineRule="auto"/>
        <w:ind w:left="0"/>
        <w:rPr>
          <w:rFonts w:ascii="Times New Roman" w:hAnsi="Times New Roman"/>
          <w:b/>
          <w:sz w:val="24"/>
          <w:szCs w:val="24"/>
        </w:rPr>
      </w:pPr>
    </w:p>
    <w:p w:rsidR="009D3914" w:rsidRDefault="009D3914" w:rsidP="00734817">
      <w:pPr>
        <w:pStyle w:val="ListParagraph"/>
        <w:spacing w:line="360" w:lineRule="auto"/>
        <w:ind w:left="0"/>
        <w:rPr>
          <w:rFonts w:ascii="Times New Roman" w:hAnsi="Times New Roman"/>
          <w:b/>
          <w:sz w:val="24"/>
          <w:szCs w:val="24"/>
        </w:rPr>
      </w:pPr>
    </w:p>
    <w:p w:rsidR="009D3914" w:rsidRDefault="009D3914" w:rsidP="00734817">
      <w:pPr>
        <w:pStyle w:val="ListParagraph"/>
        <w:spacing w:line="360" w:lineRule="auto"/>
        <w:ind w:left="0"/>
        <w:rPr>
          <w:rFonts w:ascii="Times New Roman" w:hAnsi="Times New Roman"/>
          <w:b/>
          <w:sz w:val="24"/>
          <w:szCs w:val="24"/>
        </w:rPr>
      </w:pPr>
    </w:p>
    <w:p w:rsidR="009D3914" w:rsidRDefault="009D3914" w:rsidP="00734817">
      <w:pPr>
        <w:pStyle w:val="ListParagraph"/>
        <w:spacing w:line="360" w:lineRule="auto"/>
        <w:ind w:left="0"/>
        <w:rPr>
          <w:rFonts w:ascii="Times New Roman" w:hAnsi="Times New Roman"/>
          <w:b/>
          <w:sz w:val="24"/>
          <w:szCs w:val="24"/>
        </w:rPr>
      </w:pPr>
    </w:p>
    <w:p w:rsidR="009D3914" w:rsidRPr="004848D0" w:rsidRDefault="009D3914" w:rsidP="00734817">
      <w:pPr>
        <w:pStyle w:val="ListParagraph"/>
        <w:spacing w:line="360" w:lineRule="auto"/>
        <w:ind w:left="0"/>
        <w:rPr>
          <w:rFonts w:ascii="Times New Roman" w:hAnsi="Times New Roman"/>
          <w:b/>
          <w:sz w:val="24"/>
          <w:szCs w:val="24"/>
        </w:rPr>
      </w:pPr>
    </w:p>
    <w:p w:rsidR="00BF36DD" w:rsidRDefault="00BF36DD" w:rsidP="009D3914">
      <w:pPr>
        <w:pStyle w:val="ListParagraph"/>
        <w:spacing w:line="360" w:lineRule="auto"/>
        <w:ind w:left="0"/>
        <w:rPr>
          <w:rFonts w:ascii="Times New Roman" w:hAnsi="Times New Roman"/>
          <w:b/>
          <w:sz w:val="24"/>
          <w:szCs w:val="24"/>
        </w:rPr>
      </w:pPr>
    </w:p>
    <w:p w:rsidR="00D966E7" w:rsidRDefault="009D3914" w:rsidP="000E16D0">
      <w:pPr>
        <w:pStyle w:val="ListParagraph"/>
        <w:spacing w:after="100" w:afterAutospacing="1" w:line="360" w:lineRule="auto"/>
        <w:ind w:left="0"/>
        <w:contextualSpacing w:val="0"/>
        <w:rPr>
          <w:rFonts w:ascii="Times New Roman" w:hAnsi="Times New Roman"/>
          <w:sz w:val="24"/>
          <w:szCs w:val="24"/>
        </w:rPr>
      </w:pPr>
      <w:r>
        <w:rPr>
          <w:rFonts w:ascii="Times New Roman" w:hAnsi="Times New Roman"/>
          <w:b/>
          <w:sz w:val="24"/>
          <w:szCs w:val="24"/>
        </w:rPr>
        <w:lastRenderedPageBreak/>
        <w:t>INTRODUCTION AND BACKGROUND</w:t>
      </w:r>
    </w:p>
    <w:p w:rsidR="00091664" w:rsidRPr="009D3914" w:rsidRDefault="001C1BF4" w:rsidP="000E16D0">
      <w:pPr>
        <w:pStyle w:val="ListParagraph"/>
        <w:spacing w:after="100" w:afterAutospacing="1" w:line="360" w:lineRule="auto"/>
        <w:ind w:left="0"/>
        <w:contextualSpacing w:val="0"/>
        <w:rPr>
          <w:rFonts w:ascii="Times New Roman" w:hAnsi="Times New Roman"/>
          <w:sz w:val="24"/>
          <w:szCs w:val="24"/>
        </w:rPr>
      </w:pPr>
      <w:r w:rsidRPr="009D3914">
        <w:rPr>
          <w:rFonts w:ascii="Times New Roman" w:hAnsi="Times New Roman"/>
          <w:sz w:val="24"/>
          <w:szCs w:val="24"/>
        </w:rPr>
        <w:t>House</w:t>
      </w:r>
      <w:r w:rsidR="009D3914">
        <w:rPr>
          <w:rFonts w:ascii="Times New Roman" w:hAnsi="Times New Roman"/>
          <w:sz w:val="24"/>
          <w:szCs w:val="24"/>
        </w:rPr>
        <w:t xml:space="preserve"> Concurrent </w:t>
      </w:r>
      <w:r w:rsidRPr="009D3914">
        <w:rPr>
          <w:rFonts w:ascii="Times New Roman" w:hAnsi="Times New Roman"/>
          <w:sz w:val="24"/>
          <w:szCs w:val="24"/>
        </w:rPr>
        <w:t>Resolution 8</w:t>
      </w:r>
      <w:r w:rsidR="009D3914">
        <w:rPr>
          <w:rFonts w:ascii="Times New Roman" w:hAnsi="Times New Roman"/>
          <w:sz w:val="24"/>
          <w:szCs w:val="24"/>
        </w:rPr>
        <w:t>9</w:t>
      </w:r>
      <w:r w:rsidRPr="009D3914">
        <w:rPr>
          <w:rFonts w:ascii="Times New Roman" w:hAnsi="Times New Roman"/>
          <w:sz w:val="24"/>
          <w:szCs w:val="24"/>
        </w:rPr>
        <w:t xml:space="preserve"> (H</w:t>
      </w:r>
      <w:r w:rsidR="009D3914">
        <w:rPr>
          <w:rFonts w:ascii="Times New Roman" w:hAnsi="Times New Roman"/>
          <w:sz w:val="24"/>
          <w:szCs w:val="24"/>
        </w:rPr>
        <w:t>C</w:t>
      </w:r>
      <w:r w:rsidRPr="009D3914">
        <w:rPr>
          <w:rFonts w:ascii="Times New Roman" w:hAnsi="Times New Roman"/>
          <w:sz w:val="24"/>
          <w:szCs w:val="24"/>
        </w:rPr>
        <w:t>R 8</w:t>
      </w:r>
      <w:r w:rsidR="009D3914">
        <w:rPr>
          <w:rFonts w:ascii="Times New Roman" w:hAnsi="Times New Roman"/>
          <w:sz w:val="24"/>
          <w:szCs w:val="24"/>
        </w:rPr>
        <w:t>9</w:t>
      </w:r>
      <w:r w:rsidRPr="009D3914">
        <w:rPr>
          <w:rFonts w:ascii="Times New Roman" w:hAnsi="Times New Roman"/>
          <w:sz w:val="24"/>
          <w:szCs w:val="24"/>
        </w:rPr>
        <w:t>) of the 201</w:t>
      </w:r>
      <w:r w:rsidR="009D3914">
        <w:rPr>
          <w:rFonts w:ascii="Times New Roman" w:hAnsi="Times New Roman"/>
          <w:sz w:val="24"/>
          <w:szCs w:val="24"/>
        </w:rPr>
        <w:t>7</w:t>
      </w:r>
      <w:r w:rsidRPr="009D3914">
        <w:rPr>
          <w:rFonts w:ascii="Times New Roman" w:hAnsi="Times New Roman"/>
          <w:sz w:val="24"/>
          <w:szCs w:val="24"/>
        </w:rPr>
        <w:t xml:space="preserve"> Regular Session</w:t>
      </w:r>
      <w:r w:rsidR="008E3566">
        <w:rPr>
          <w:rFonts w:ascii="Times New Roman" w:hAnsi="Times New Roman"/>
          <w:sz w:val="24"/>
          <w:szCs w:val="24"/>
        </w:rPr>
        <w:t>,</w:t>
      </w:r>
      <w:r w:rsidRPr="009D3914">
        <w:rPr>
          <w:rFonts w:ascii="Times New Roman" w:hAnsi="Times New Roman"/>
          <w:sz w:val="24"/>
          <w:szCs w:val="24"/>
        </w:rPr>
        <w:t xml:space="preserve"> </w:t>
      </w:r>
      <w:r w:rsidR="00900AEE">
        <w:rPr>
          <w:rFonts w:ascii="Times New Roman" w:hAnsi="Times New Roman"/>
          <w:sz w:val="24"/>
          <w:szCs w:val="24"/>
        </w:rPr>
        <w:t>as originally introduced</w:t>
      </w:r>
      <w:r w:rsidR="008E3566">
        <w:rPr>
          <w:rFonts w:ascii="Times New Roman" w:hAnsi="Times New Roman"/>
          <w:sz w:val="24"/>
          <w:szCs w:val="24"/>
        </w:rPr>
        <w:t>,</w:t>
      </w:r>
      <w:r w:rsidR="00900AEE">
        <w:rPr>
          <w:rFonts w:ascii="Times New Roman" w:hAnsi="Times New Roman"/>
          <w:sz w:val="24"/>
          <w:szCs w:val="24"/>
        </w:rPr>
        <w:t xml:space="preserve"> </w:t>
      </w:r>
      <w:r w:rsidRPr="009D3914">
        <w:rPr>
          <w:rFonts w:ascii="Times New Roman" w:hAnsi="Times New Roman"/>
          <w:sz w:val="24"/>
          <w:szCs w:val="24"/>
        </w:rPr>
        <w:t xml:space="preserve">urged and requested the Board of Regents </w:t>
      </w:r>
      <w:r w:rsidR="00900AEE">
        <w:rPr>
          <w:rFonts w:ascii="Times New Roman" w:hAnsi="Times New Roman"/>
          <w:sz w:val="24"/>
          <w:szCs w:val="24"/>
        </w:rPr>
        <w:t xml:space="preserve">and the Board of Supervisors of the University of Louisiana System </w:t>
      </w:r>
      <w:r w:rsidR="004848D0" w:rsidRPr="009D3914">
        <w:rPr>
          <w:rFonts w:ascii="Times New Roman" w:hAnsi="Times New Roman"/>
          <w:sz w:val="24"/>
          <w:szCs w:val="24"/>
        </w:rPr>
        <w:t xml:space="preserve">. . . </w:t>
      </w:r>
      <w:r w:rsidRPr="009D3914">
        <w:rPr>
          <w:rFonts w:ascii="Times New Roman" w:hAnsi="Times New Roman"/>
          <w:sz w:val="24"/>
          <w:szCs w:val="24"/>
        </w:rPr>
        <w:t xml:space="preserve">to </w:t>
      </w:r>
      <w:r w:rsidR="00900AEE">
        <w:rPr>
          <w:rFonts w:ascii="Times New Roman" w:hAnsi="Times New Roman"/>
          <w:sz w:val="24"/>
          <w:szCs w:val="24"/>
        </w:rPr>
        <w:t>s</w:t>
      </w:r>
      <w:r w:rsidRPr="009D3914">
        <w:rPr>
          <w:rFonts w:ascii="Times New Roman" w:hAnsi="Times New Roman"/>
          <w:sz w:val="24"/>
          <w:szCs w:val="24"/>
        </w:rPr>
        <w:t xml:space="preserve">tudy </w:t>
      </w:r>
      <w:r w:rsidR="00900AEE">
        <w:rPr>
          <w:rFonts w:ascii="Times New Roman" w:hAnsi="Times New Roman"/>
          <w:sz w:val="24"/>
          <w:szCs w:val="24"/>
        </w:rPr>
        <w:t>“</w:t>
      </w:r>
      <w:r w:rsidRPr="009D3914">
        <w:rPr>
          <w:rFonts w:ascii="Times New Roman" w:hAnsi="Times New Roman"/>
          <w:sz w:val="24"/>
          <w:szCs w:val="24"/>
        </w:rPr>
        <w:t xml:space="preserve">the </w:t>
      </w:r>
      <w:r w:rsidR="00900AEE">
        <w:rPr>
          <w:rFonts w:ascii="Times New Roman" w:hAnsi="Times New Roman"/>
          <w:sz w:val="24"/>
          <w:szCs w:val="24"/>
        </w:rPr>
        <w:t>possibility of revising the classification and admission standards of the University of New Orleans and submit a report of their findings and recommendations to the House Committee on Education and the S</w:t>
      </w:r>
      <w:r w:rsidR="00B444D2">
        <w:rPr>
          <w:rFonts w:ascii="Times New Roman" w:hAnsi="Times New Roman"/>
          <w:sz w:val="24"/>
          <w:szCs w:val="24"/>
        </w:rPr>
        <w:t>enate Committee on Education …”</w:t>
      </w:r>
      <w:r w:rsidR="00900AEE">
        <w:rPr>
          <w:rFonts w:ascii="Times New Roman" w:hAnsi="Times New Roman"/>
          <w:sz w:val="24"/>
          <w:szCs w:val="24"/>
        </w:rPr>
        <w:t>.  The resolution was amended in the House Committee on Education to add the Southern University Board of Supervisors and Southern University at New Orleans (Attached).</w:t>
      </w:r>
    </w:p>
    <w:p w:rsidR="004848D0" w:rsidRDefault="00900AEE" w:rsidP="0006756E">
      <w:pPr>
        <w:pStyle w:val="ListParagraph"/>
        <w:spacing w:after="100" w:afterAutospacing="1" w:line="360" w:lineRule="auto"/>
        <w:ind w:left="0"/>
        <w:contextualSpacing w:val="0"/>
        <w:rPr>
          <w:rFonts w:ascii="Times New Roman" w:hAnsi="Times New Roman"/>
          <w:b/>
          <w:sz w:val="24"/>
          <w:szCs w:val="24"/>
        </w:rPr>
      </w:pPr>
      <w:r>
        <w:rPr>
          <w:rFonts w:ascii="Times New Roman" w:hAnsi="Times New Roman"/>
          <w:sz w:val="24"/>
          <w:szCs w:val="24"/>
        </w:rPr>
        <w:t xml:space="preserve">Prior to the adoption of a Constitutional Amendment creating the Louisiana Community and Technical College System </w:t>
      </w:r>
      <w:r w:rsidR="0006756E">
        <w:rPr>
          <w:rFonts w:ascii="Times New Roman" w:hAnsi="Times New Roman"/>
          <w:sz w:val="24"/>
          <w:szCs w:val="24"/>
        </w:rPr>
        <w:t xml:space="preserve">(LCTCS) </w:t>
      </w:r>
      <w:r>
        <w:rPr>
          <w:rFonts w:ascii="Times New Roman" w:hAnsi="Times New Roman"/>
          <w:sz w:val="24"/>
          <w:szCs w:val="24"/>
        </w:rPr>
        <w:t xml:space="preserve">in 1997, </w:t>
      </w:r>
      <w:r w:rsidR="0006756E">
        <w:rPr>
          <w:rFonts w:ascii="Times New Roman" w:hAnsi="Times New Roman"/>
          <w:sz w:val="24"/>
          <w:szCs w:val="24"/>
        </w:rPr>
        <w:t xml:space="preserve">with the exception of Louisiana State University and A&amp;M College and Louisiana Tech University, </w:t>
      </w:r>
      <w:r w:rsidR="008C2314" w:rsidRPr="009D3914">
        <w:rPr>
          <w:rFonts w:ascii="Times New Roman" w:hAnsi="Times New Roman"/>
          <w:sz w:val="24"/>
          <w:szCs w:val="24"/>
        </w:rPr>
        <w:t xml:space="preserve">Louisiana’s </w:t>
      </w:r>
      <w:r w:rsidR="0006756E">
        <w:rPr>
          <w:rFonts w:ascii="Times New Roman" w:hAnsi="Times New Roman"/>
          <w:sz w:val="24"/>
          <w:szCs w:val="24"/>
        </w:rPr>
        <w:t xml:space="preserve">4-year institutions </w:t>
      </w:r>
      <w:r w:rsidR="00B444D2">
        <w:rPr>
          <w:rFonts w:ascii="Times New Roman" w:hAnsi="Times New Roman"/>
          <w:sz w:val="24"/>
          <w:szCs w:val="24"/>
        </w:rPr>
        <w:t xml:space="preserve">generally </w:t>
      </w:r>
      <w:r w:rsidR="0006756E">
        <w:rPr>
          <w:rFonts w:ascii="Times New Roman" w:hAnsi="Times New Roman"/>
          <w:sz w:val="24"/>
          <w:szCs w:val="24"/>
        </w:rPr>
        <w:t xml:space="preserve">practiced open admissions.  </w:t>
      </w:r>
      <w:r w:rsidR="00B444D2">
        <w:rPr>
          <w:rFonts w:ascii="Times New Roman" w:hAnsi="Times New Roman"/>
          <w:sz w:val="24"/>
          <w:szCs w:val="24"/>
        </w:rPr>
        <w:t>In the absence of a community college system, Louisiana’s 4-year universities assumed community college roles to retain access to postsecondary education for the State’s citizens. However, t</w:t>
      </w:r>
      <w:r w:rsidR="0006756E">
        <w:rPr>
          <w:rFonts w:ascii="Times New Roman" w:hAnsi="Times New Roman"/>
          <w:sz w:val="24"/>
          <w:szCs w:val="24"/>
        </w:rPr>
        <w:t xml:space="preserve">he growth and development of the campuses of LCTCS allowed the Board of Regents </w:t>
      </w:r>
      <w:r w:rsidR="00B444D2">
        <w:rPr>
          <w:rFonts w:ascii="Times New Roman" w:hAnsi="Times New Roman"/>
          <w:sz w:val="24"/>
          <w:szCs w:val="24"/>
        </w:rPr>
        <w:t xml:space="preserve">the opportunity to more strategically allocate the State’s resources and </w:t>
      </w:r>
      <w:r w:rsidR="0006756E">
        <w:rPr>
          <w:rFonts w:ascii="Times New Roman" w:hAnsi="Times New Roman"/>
          <w:sz w:val="24"/>
          <w:szCs w:val="24"/>
        </w:rPr>
        <w:t>more clearly define and differentiate the role, scope and mission of Louisiana’s institutions.</w:t>
      </w:r>
      <w:r w:rsidR="0006756E" w:rsidRPr="004848D0">
        <w:rPr>
          <w:rFonts w:ascii="Times New Roman" w:hAnsi="Times New Roman"/>
          <w:b/>
          <w:sz w:val="24"/>
          <w:szCs w:val="24"/>
        </w:rPr>
        <w:t xml:space="preserve"> </w:t>
      </w:r>
    </w:p>
    <w:p w:rsidR="0006756E" w:rsidRPr="0006756E" w:rsidRDefault="0006756E" w:rsidP="0006756E">
      <w:pPr>
        <w:pStyle w:val="ListParagraph"/>
        <w:spacing w:after="100" w:afterAutospacing="1" w:line="360" w:lineRule="auto"/>
        <w:ind w:left="0"/>
        <w:rPr>
          <w:rFonts w:ascii="Times New Roman" w:hAnsi="Times New Roman"/>
          <w:sz w:val="24"/>
          <w:szCs w:val="24"/>
        </w:rPr>
      </w:pPr>
      <w:r w:rsidRPr="0006756E">
        <w:rPr>
          <w:rFonts w:ascii="Times New Roman" w:hAnsi="Times New Roman"/>
          <w:sz w:val="24"/>
          <w:szCs w:val="24"/>
        </w:rPr>
        <w:t>The</w:t>
      </w:r>
      <w:r w:rsidR="009C2329">
        <w:rPr>
          <w:rFonts w:ascii="Times New Roman" w:hAnsi="Times New Roman"/>
          <w:sz w:val="24"/>
          <w:szCs w:val="24"/>
        </w:rPr>
        <w:t>se developments were reflected in the</w:t>
      </w:r>
      <w:r w:rsidRPr="0006756E">
        <w:rPr>
          <w:rFonts w:ascii="Times New Roman" w:hAnsi="Times New Roman"/>
          <w:sz w:val="24"/>
          <w:szCs w:val="24"/>
        </w:rPr>
        <w:t xml:space="preserve"> Board of </w:t>
      </w:r>
      <w:r>
        <w:rPr>
          <w:rFonts w:ascii="Times New Roman" w:hAnsi="Times New Roman"/>
          <w:sz w:val="24"/>
          <w:szCs w:val="24"/>
        </w:rPr>
        <w:t>R</w:t>
      </w:r>
      <w:r w:rsidRPr="0006756E">
        <w:rPr>
          <w:rFonts w:ascii="Times New Roman" w:hAnsi="Times New Roman"/>
          <w:sz w:val="24"/>
          <w:szCs w:val="24"/>
        </w:rPr>
        <w:t>egents</w:t>
      </w:r>
      <w:r w:rsidR="009C2329">
        <w:rPr>
          <w:rFonts w:ascii="Times New Roman" w:hAnsi="Times New Roman"/>
          <w:sz w:val="24"/>
          <w:szCs w:val="24"/>
        </w:rPr>
        <w:t>’</w:t>
      </w:r>
      <w:r w:rsidRPr="0006756E">
        <w:rPr>
          <w:rFonts w:ascii="Times New Roman" w:hAnsi="Times New Roman"/>
          <w:sz w:val="24"/>
          <w:szCs w:val="24"/>
        </w:rPr>
        <w:t xml:space="preserve"> </w:t>
      </w:r>
      <w:r w:rsidRPr="00B444D2">
        <w:rPr>
          <w:rFonts w:ascii="Times New Roman" w:hAnsi="Times New Roman"/>
          <w:sz w:val="24"/>
          <w:szCs w:val="24"/>
          <w:u w:val="single"/>
        </w:rPr>
        <w:t xml:space="preserve">Master Plan for </w:t>
      </w:r>
      <w:r w:rsidR="00B444D2">
        <w:rPr>
          <w:rFonts w:ascii="Times New Roman" w:hAnsi="Times New Roman"/>
          <w:sz w:val="24"/>
          <w:szCs w:val="24"/>
          <w:u w:val="single"/>
        </w:rPr>
        <w:t>Postsecondary</w:t>
      </w:r>
      <w:r w:rsidRPr="00B444D2">
        <w:rPr>
          <w:rFonts w:ascii="Times New Roman" w:hAnsi="Times New Roman"/>
          <w:sz w:val="24"/>
          <w:szCs w:val="24"/>
          <w:u w:val="single"/>
        </w:rPr>
        <w:t xml:space="preserve"> Education in Louisiana</w:t>
      </w:r>
      <w:r w:rsidRPr="0006756E">
        <w:rPr>
          <w:rFonts w:ascii="Times New Roman" w:hAnsi="Times New Roman"/>
          <w:sz w:val="24"/>
          <w:szCs w:val="24"/>
        </w:rPr>
        <w:t xml:space="preserve"> </w:t>
      </w:r>
      <w:r w:rsidR="009C2329">
        <w:rPr>
          <w:rFonts w:ascii="Times New Roman" w:hAnsi="Times New Roman"/>
          <w:sz w:val="24"/>
          <w:szCs w:val="24"/>
        </w:rPr>
        <w:t xml:space="preserve">adopted </w:t>
      </w:r>
      <w:r>
        <w:rPr>
          <w:rFonts w:ascii="Times New Roman" w:hAnsi="Times New Roman"/>
          <w:sz w:val="24"/>
          <w:szCs w:val="24"/>
        </w:rPr>
        <w:t xml:space="preserve">in 2001.  For the first time, the </w:t>
      </w:r>
      <w:r w:rsidR="009C2329">
        <w:rPr>
          <w:rFonts w:ascii="Times New Roman" w:hAnsi="Times New Roman"/>
          <w:sz w:val="24"/>
          <w:szCs w:val="24"/>
        </w:rPr>
        <w:t xml:space="preserve">Board of </w:t>
      </w:r>
      <w:r>
        <w:rPr>
          <w:rFonts w:ascii="Times New Roman" w:hAnsi="Times New Roman"/>
          <w:sz w:val="24"/>
          <w:szCs w:val="24"/>
        </w:rPr>
        <w:t>Regents identified minimum admissions standards for institutions</w:t>
      </w:r>
      <w:r w:rsidR="009C2329">
        <w:rPr>
          <w:rFonts w:ascii="Times New Roman" w:hAnsi="Times New Roman"/>
          <w:sz w:val="24"/>
          <w:szCs w:val="24"/>
        </w:rPr>
        <w:t xml:space="preserve"> based on the classification assigned to them in the Plan, i.e. Community and Technical Colleges</w:t>
      </w:r>
      <w:r>
        <w:rPr>
          <w:rFonts w:ascii="Times New Roman" w:hAnsi="Times New Roman"/>
          <w:sz w:val="24"/>
          <w:szCs w:val="24"/>
        </w:rPr>
        <w:t xml:space="preserve">, </w:t>
      </w:r>
      <w:r w:rsidR="009C2329">
        <w:rPr>
          <w:rFonts w:ascii="Times New Roman" w:hAnsi="Times New Roman"/>
          <w:sz w:val="24"/>
          <w:szCs w:val="24"/>
        </w:rPr>
        <w:t xml:space="preserve">regional Institutions, statewide Institutions and Flagship institution.  The Plan established minimum admissions standards beginning with </w:t>
      </w:r>
      <w:r>
        <w:rPr>
          <w:rFonts w:ascii="Times New Roman" w:hAnsi="Times New Roman"/>
          <w:sz w:val="24"/>
          <w:szCs w:val="24"/>
        </w:rPr>
        <w:t xml:space="preserve">open admissions at </w:t>
      </w:r>
      <w:r w:rsidR="009C2329">
        <w:rPr>
          <w:rFonts w:ascii="Times New Roman" w:hAnsi="Times New Roman"/>
          <w:sz w:val="24"/>
          <w:szCs w:val="24"/>
        </w:rPr>
        <w:t>C</w:t>
      </w:r>
      <w:r>
        <w:rPr>
          <w:rFonts w:ascii="Times New Roman" w:hAnsi="Times New Roman"/>
          <w:sz w:val="24"/>
          <w:szCs w:val="24"/>
        </w:rPr>
        <w:t xml:space="preserve">ommunity and </w:t>
      </w:r>
      <w:r w:rsidR="009C2329">
        <w:rPr>
          <w:rFonts w:ascii="Times New Roman" w:hAnsi="Times New Roman"/>
          <w:sz w:val="24"/>
          <w:szCs w:val="24"/>
        </w:rPr>
        <w:t>T</w:t>
      </w:r>
      <w:r>
        <w:rPr>
          <w:rFonts w:ascii="Times New Roman" w:hAnsi="Times New Roman"/>
          <w:sz w:val="24"/>
          <w:szCs w:val="24"/>
        </w:rPr>
        <w:t xml:space="preserve">echnical </w:t>
      </w:r>
      <w:r w:rsidR="009C2329">
        <w:rPr>
          <w:rFonts w:ascii="Times New Roman" w:hAnsi="Times New Roman"/>
          <w:sz w:val="24"/>
          <w:szCs w:val="24"/>
        </w:rPr>
        <w:t>C</w:t>
      </w:r>
      <w:r>
        <w:rPr>
          <w:rFonts w:ascii="Times New Roman" w:hAnsi="Times New Roman"/>
          <w:sz w:val="24"/>
          <w:szCs w:val="24"/>
        </w:rPr>
        <w:t xml:space="preserve">olleges </w:t>
      </w:r>
      <w:r w:rsidR="009C2329">
        <w:rPr>
          <w:rFonts w:ascii="Times New Roman" w:hAnsi="Times New Roman"/>
          <w:sz w:val="24"/>
          <w:szCs w:val="24"/>
        </w:rPr>
        <w:t xml:space="preserve">and gradually more stringent, selective standards </w:t>
      </w:r>
      <w:r>
        <w:rPr>
          <w:rFonts w:ascii="Times New Roman" w:hAnsi="Times New Roman"/>
          <w:sz w:val="24"/>
          <w:szCs w:val="24"/>
        </w:rPr>
        <w:t xml:space="preserve">at the </w:t>
      </w:r>
      <w:r w:rsidR="009C2329">
        <w:rPr>
          <w:rFonts w:ascii="Times New Roman" w:hAnsi="Times New Roman"/>
          <w:sz w:val="24"/>
          <w:szCs w:val="24"/>
        </w:rPr>
        <w:t>R</w:t>
      </w:r>
      <w:r>
        <w:rPr>
          <w:rFonts w:ascii="Times New Roman" w:hAnsi="Times New Roman"/>
          <w:sz w:val="24"/>
          <w:szCs w:val="24"/>
        </w:rPr>
        <w:t xml:space="preserve">egional, </w:t>
      </w:r>
      <w:r w:rsidR="009C2329">
        <w:rPr>
          <w:rFonts w:ascii="Times New Roman" w:hAnsi="Times New Roman"/>
          <w:sz w:val="24"/>
          <w:szCs w:val="24"/>
        </w:rPr>
        <w:t>Statewide and F</w:t>
      </w:r>
      <w:r>
        <w:rPr>
          <w:rFonts w:ascii="Times New Roman" w:hAnsi="Times New Roman"/>
          <w:sz w:val="24"/>
          <w:szCs w:val="24"/>
        </w:rPr>
        <w:t xml:space="preserve">lagship </w:t>
      </w:r>
      <w:r w:rsidR="009C2329">
        <w:rPr>
          <w:rFonts w:ascii="Times New Roman" w:hAnsi="Times New Roman"/>
          <w:sz w:val="24"/>
          <w:szCs w:val="24"/>
        </w:rPr>
        <w:t>Institutions</w:t>
      </w:r>
      <w:r>
        <w:rPr>
          <w:rFonts w:ascii="Times New Roman" w:hAnsi="Times New Roman"/>
          <w:sz w:val="24"/>
          <w:szCs w:val="24"/>
        </w:rPr>
        <w:t xml:space="preserve">.  </w:t>
      </w:r>
      <w:r w:rsidR="009C2329">
        <w:rPr>
          <w:rFonts w:ascii="Times New Roman" w:hAnsi="Times New Roman"/>
          <w:sz w:val="24"/>
          <w:szCs w:val="24"/>
        </w:rPr>
        <w:t>The</w:t>
      </w:r>
      <w:r w:rsidR="002F0977">
        <w:rPr>
          <w:rFonts w:ascii="Times New Roman" w:hAnsi="Times New Roman"/>
          <w:sz w:val="24"/>
          <w:szCs w:val="24"/>
        </w:rPr>
        <w:t xml:space="preserve"> Plan encouraged institutions and their management boards to exceed the minimum standards established by the Board.  In the Board of </w:t>
      </w:r>
      <w:r w:rsidR="00B444D2">
        <w:rPr>
          <w:rFonts w:ascii="Times New Roman" w:hAnsi="Times New Roman"/>
          <w:sz w:val="24"/>
          <w:szCs w:val="24"/>
        </w:rPr>
        <w:t>R</w:t>
      </w:r>
      <w:r w:rsidR="002F0977">
        <w:rPr>
          <w:rFonts w:ascii="Times New Roman" w:hAnsi="Times New Roman"/>
          <w:sz w:val="24"/>
          <w:szCs w:val="24"/>
        </w:rPr>
        <w:t xml:space="preserve">egents’ classification of institutions, the </w:t>
      </w:r>
      <w:r>
        <w:rPr>
          <w:rFonts w:ascii="Times New Roman" w:hAnsi="Times New Roman"/>
          <w:sz w:val="24"/>
          <w:szCs w:val="24"/>
        </w:rPr>
        <w:t xml:space="preserve">University </w:t>
      </w:r>
      <w:proofErr w:type="gramStart"/>
      <w:r>
        <w:rPr>
          <w:rFonts w:ascii="Times New Roman" w:hAnsi="Times New Roman"/>
          <w:sz w:val="24"/>
          <w:szCs w:val="24"/>
        </w:rPr>
        <w:t>of</w:t>
      </w:r>
      <w:proofErr w:type="gramEnd"/>
      <w:r>
        <w:rPr>
          <w:rFonts w:ascii="Times New Roman" w:hAnsi="Times New Roman"/>
          <w:sz w:val="24"/>
          <w:szCs w:val="24"/>
        </w:rPr>
        <w:t xml:space="preserve"> New Orleans </w:t>
      </w:r>
      <w:r w:rsidR="00D966E7">
        <w:rPr>
          <w:rFonts w:ascii="Times New Roman" w:hAnsi="Times New Roman"/>
          <w:sz w:val="24"/>
          <w:szCs w:val="24"/>
        </w:rPr>
        <w:t xml:space="preserve">(UNO) </w:t>
      </w:r>
      <w:r>
        <w:rPr>
          <w:rFonts w:ascii="Times New Roman" w:hAnsi="Times New Roman"/>
          <w:sz w:val="24"/>
          <w:szCs w:val="24"/>
        </w:rPr>
        <w:t xml:space="preserve">is classified as a </w:t>
      </w:r>
      <w:r w:rsidR="002F0977">
        <w:rPr>
          <w:rFonts w:ascii="Times New Roman" w:hAnsi="Times New Roman"/>
          <w:sz w:val="24"/>
          <w:szCs w:val="24"/>
        </w:rPr>
        <w:t>S</w:t>
      </w:r>
      <w:r>
        <w:rPr>
          <w:rFonts w:ascii="Times New Roman" w:hAnsi="Times New Roman"/>
          <w:sz w:val="24"/>
          <w:szCs w:val="24"/>
        </w:rPr>
        <w:t xml:space="preserve">tatewide </w:t>
      </w:r>
      <w:r w:rsidR="002F0977">
        <w:rPr>
          <w:rFonts w:ascii="Times New Roman" w:hAnsi="Times New Roman"/>
          <w:sz w:val="24"/>
          <w:szCs w:val="24"/>
        </w:rPr>
        <w:t>I</w:t>
      </w:r>
      <w:r>
        <w:rPr>
          <w:rFonts w:ascii="Times New Roman" w:hAnsi="Times New Roman"/>
          <w:sz w:val="24"/>
          <w:szCs w:val="24"/>
        </w:rPr>
        <w:t>nstitution and Southern University at New Orleans</w:t>
      </w:r>
      <w:r w:rsidR="00D966E7">
        <w:rPr>
          <w:rFonts w:ascii="Times New Roman" w:hAnsi="Times New Roman"/>
          <w:sz w:val="24"/>
          <w:szCs w:val="24"/>
        </w:rPr>
        <w:t xml:space="preserve"> (SUNO)</w:t>
      </w:r>
      <w:r>
        <w:rPr>
          <w:rFonts w:ascii="Times New Roman" w:hAnsi="Times New Roman"/>
          <w:sz w:val="24"/>
          <w:szCs w:val="24"/>
        </w:rPr>
        <w:t xml:space="preserve"> </w:t>
      </w:r>
      <w:r w:rsidR="002F0977">
        <w:rPr>
          <w:rFonts w:ascii="Times New Roman" w:hAnsi="Times New Roman"/>
          <w:sz w:val="24"/>
          <w:szCs w:val="24"/>
        </w:rPr>
        <w:t>as a R</w:t>
      </w:r>
      <w:r>
        <w:rPr>
          <w:rFonts w:ascii="Times New Roman" w:hAnsi="Times New Roman"/>
          <w:sz w:val="24"/>
          <w:szCs w:val="24"/>
        </w:rPr>
        <w:t xml:space="preserve">egional </w:t>
      </w:r>
      <w:r w:rsidR="002F0977">
        <w:rPr>
          <w:rFonts w:ascii="Times New Roman" w:hAnsi="Times New Roman"/>
          <w:sz w:val="24"/>
          <w:szCs w:val="24"/>
        </w:rPr>
        <w:t>I</w:t>
      </w:r>
      <w:r>
        <w:rPr>
          <w:rFonts w:ascii="Times New Roman" w:hAnsi="Times New Roman"/>
          <w:sz w:val="24"/>
          <w:szCs w:val="24"/>
        </w:rPr>
        <w:t xml:space="preserve">nstitution.  The amendments to HCR 89 adopted by the Committee on Education </w:t>
      </w:r>
      <w:r w:rsidR="002F0977">
        <w:rPr>
          <w:rFonts w:ascii="Times New Roman" w:hAnsi="Times New Roman"/>
          <w:sz w:val="24"/>
          <w:szCs w:val="24"/>
        </w:rPr>
        <w:t>were offered in part to recognize the different classifications and missions of the two New Orleans universities and the interest in maintaining th</w:t>
      </w:r>
      <w:r w:rsidR="00573F1A">
        <w:rPr>
          <w:rFonts w:ascii="Times New Roman" w:hAnsi="Times New Roman"/>
          <w:sz w:val="24"/>
          <w:szCs w:val="24"/>
        </w:rPr>
        <w:t>at</w:t>
      </w:r>
      <w:r w:rsidR="002F0977">
        <w:rPr>
          <w:rFonts w:ascii="Times New Roman" w:hAnsi="Times New Roman"/>
          <w:sz w:val="24"/>
          <w:szCs w:val="24"/>
        </w:rPr>
        <w:t xml:space="preserve"> differentiation. </w:t>
      </w:r>
    </w:p>
    <w:p w:rsidR="00D966E7" w:rsidRDefault="002F0977" w:rsidP="002F0977">
      <w:pPr>
        <w:spacing w:after="100" w:afterAutospacing="1" w:line="360" w:lineRule="auto"/>
        <w:contextualSpacing/>
        <w:rPr>
          <w:rFonts w:eastAsia="Times New Roman"/>
          <w:lang w:eastAsia="en-US"/>
        </w:rPr>
      </w:pPr>
      <w:r>
        <w:rPr>
          <w:rFonts w:eastAsia="Times New Roman"/>
          <w:b/>
          <w:lang w:eastAsia="en-US"/>
        </w:rPr>
        <w:lastRenderedPageBreak/>
        <w:t>PROCESS</w:t>
      </w:r>
    </w:p>
    <w:p w:rsidR="00AA3062" w:rsidRDefault="00D966E7" w:rsidP="002F0977">
      <w:pPr>
        <w:spacing w:after="100" w:afterAutospacing="1" w:line="360" w:lineRule="auto"/>
        <w:contextualSpacing/>
        <w:rPr>
          <w:rFonts w:eastAsia="Times New Roman"/>
          <w:lang w:eastAsia="en-US"/>
        </w:rPr>
      </w:pPr>
      <w:r>
        <w:rPr>
          <w:rFonts w:eastAsia="Times New Roman"/>
          <w:lang w:eastAsia="en-US"/>
        </w:rPr>
        <w:t>The minimum admissions standards adopted by the Board of Regents i</w:t>
      </w:r>
      <w:r w:rsidR="00573F1A">
        <w:rPr>
          <w:rFonts w:eastAsia="Times New Roman"/>
          <w:lang w:eastAsia="en-US"/>
        </w:rPr>
        <w:t>s</w:t>
      </w:r>
      <w:r>
        <w:rPr>
          <w:rFonts w:eastAsia="Times New Roman"/>
          <w:lang w:eastAsia="en-US"/>
        </w:rPr>
        <w:t xml:space="preserve"> multi-faceted.  The standards are a combination of a prescribed high school core, a minimum </w:t>
      </w:r>
      <w:r w:rsidR="00AA3062">
        <w:rPr>
          <w:rFonts w:eastAsia="Times New Roman"/>
          <w:lang w:eastAsia="en-US"/>
        </w:rPr>
        <w:t xml:space="preserve">overall </w:t>
      </w:r>
      <w:r>
        <w:rPr>
          <w:rFonts w:eastAsia="Times New Roman"/>
          <w:lang w:eastAsia="en-US"/>
        </w:rPr>
        <w:t>high school grade point average, and</w:t>
      </w:r>
      <w:r w:rsidR="008E3566">
        <w:rPr>
          <w:rFonts w:eastAsia="Times New Roman"/>
          <w:lang w:eastAsia="en-US"/>
        </w:rPr>
        <w:t>,</w:t>
      </w:r>
      <w:r>
        <w:rPr>
          <w:rFonts w:eastAsia="Times New Roman"/>
          <w:lang w:eastAsia="en-US"/>
        </w:rPr>
        <w:t xml:space="preserve"> depending on the classification of institution, either a minimum high school grade point average </w:t>
      </w:r>
      <w:r w:rsidR="00AA3062">
        <w:rPr>
          <w:rFonts w:eastAsia="Times New Roman"/>
          <w:lang w:eastAsia="en-US"/>
        </w:rPr>
        <w:t xml:space="preserve">on the core curriculum </w:t>
      </w:r>
      <w:r>
        <w:rPr>
          <w:rFonts w:eastAsia="Times New Roman"/>
          <w:lang w:eastAsia="en-US"/>
        </w:rPr>
        <w:t>or a composite score on the ACT (or its equivalent).</w:t>
      </w:r>
      <w:r w:rsidR="00AA3062">
        <w:rPr>
          <w:rFonts w:eastAsia="Times New Roman"/>
          <w:lang w:eastAsia="en-US"/>
        </w:rPr>
        <w:t xml:space="preserve">  Additionally, students seeking admission to a university must meet the literacy and numeracy requirements as measured by math and English sub scores on the ACT (or its equivalent).  (See Table 1 below.)</w:t>
      </w:r>
    </w:p>
    <w:p w:rsidR="00AA3062" w:rsidRDefault="00362766" w:rsidP="00362766">
      <w:pPr>
        <w:spacing w:after="100" w:afterAutospacing="1" w:line="360" w:lineRule="auto"/>
        <w:contextualSpacing/>
        <w:jc w:val="center"/>
        <w:rPr>
          <w:rFonts w:eastAsia="Times New Roman"/>
          <w:lang w:eastAsia="en-US"/>
        </w:rPr>
      </w:pPr>
      <w:r>
        <w:rPr>
          <w:rFonts w:eastAsia="Times New Roman"/>
          <w:lang w:eastAsia="en-US"/>
        </w:rPr>
        <w:t>TABLE 1</w:t>
      </w:r>
    </w:p>
    <w:p w:rsidR="00362766" w:rsidRPr="004E5A45" w:rsidRDefault="00362766" w:rsidP="00AA3062">
      <w:pPr>
        <w:spacing w:after="100" w:afterAutospacing="1" w:line="360" w:lineRule="auto"/>
        <w:contextualSpacing/>
        <w:jc w:val="center"/>
        <w:rPr>
          <w:rFonts w:ascii="Arial" w:eastAsia="Times New Roman" w:hAnsi="Arial" w:cs="Arial"/>
          <w:b/>
          <w:sz w:val="22"/>
          <w:lang w:eastAsia="en-US"/>
        </w:rPr>
      </w:pPr>
      <w:r w:rsidRPr="004E5A45">
        <w:rPr>
          <w:rFonts w:ascii="Arial" w:eastAsia="Times New Roman" w:hAnsi="Arial" w:cs="Arial"/>
          <w:b/>
          <w:sz w:val="22"/>
          <w:lang w:eastAsia="en-US"/>
        </w:rPr>
        <w:t>Louisiana Board of Regents Minimum Admission Standards for First-Time Freshmen</w:t>
      </w:r>
    </w:p>
    <w:p w:rsidR="008E3566" w:rsidRDefault="008E3566" w:rsidP="004E5A45">
      <w:pPr>
        <w:spacing w:before="120"/>
        <w:ind w:left="450" w:hanging="450"/>
        <w:rPr>
          <w:rFonts w:ascii="Arial" w:hAnsi="Arial" w:cs="Arial"/>
          <w:sz w:val="20"/>
        </w:rPr>
      </w:pPr>
      <w:r w:rsidRPr="007A1B66">
        <w:rPr>
          <w:rFonts w:ascii="Arial" w:hAnsi="Arial" w:cs="Arial"/>
          <w:sz w:val="20"/>
        </w:rPr>
        <w:t xml:space="preserve">The Board of Regents establishes </w:t>
      </w:r>
      <w:r w:rsidRPr="007A1B66">
        <w:rPr>
          <w:rFonts w:ascii="Arial" w:hAnsi="Arial" w:cs="Arial"/>
          <w:b/>
          <w:sz w:val="20"/>
          <w:u w:val="single"/>
        </w:rPr>
        <w:t>minimum</w:t>
      </w:r>
      <w:r w:rsidRPr="007A1B66">
        <w:rPr>
          <w:rFonts w:ascii="Arial" w:hAnsi="Arial" w:cs="Arial"/>
          <w:sz w:val="20"/>
        </w:rPr>
        <w:t xml:space="preserve"> admission standards for regular freshman admission at a Louisiana public university – flagship, statewide, or regional.* </w:t>
      </w:r>
    </w:p>
    <w:p w:rsidR="008E3566" w:rsidRPr="004E5A45" w:rsidRDefault="008E3566" w:rsidP="008E3566">
      <w:pPr>
        <w:spacing w:before="120" w:after="120"/>
        <w:ind w:left="446" w:hanging="446"/>
        <w:rPr>
          <w:rFonts w:ascii="Arial" w:hAnsi="Arial" w:cs="Arial"/>
          <w:b/>
          <w:color w:val="8A0000"/>
          <w:sz w:val="20"/>
          <w:u w:val="single"/>
        </w:rPr>
      </w:pPr>
      <w:r w:rsidRPr="004E5A45">
        <w:rPr>
          <w:rFonts w:ascii="Arial" w:hAnsi="Arial" w:cs="Arial"/>
          <w:b/>
          <w:color w:val="8A0000"/>
          <w:sz w:val="20"/>
          <w:u w:val="single"/>
        </w:rPr>
        <w:t>Universities may adopt additional, more specific or rigorous requirements for admission: students should check with the specific institution for additional information.</w:t>
      </w:r>
    </w:p>
    <w:tbl>
      <w:tblPr>
        <w:tblStyle w:val="TableGrid"/>
        <w:tblW w:w="9616" w:type="dxa"/>
        <w:jc w:val="center"/>
        <w:tblLook w:val="04A0" w:firstRow="1" w:lastRow="0" w:firstColumn="1" w:lastColumn="0" w:noHBand="0" w:noVBand="1"/>
      </w:tblPr>
      <w:tblGrid>
        <w:gridCol w:w="1484"/>
        <w:gridCol w:w="8132"/>
      </w:tblGrid>
      <w:tr w:rsidR="008E3566" w:rsidTr="00DE61FB">
        <w:trPr>
          <w:trHeight w:val="1709"/>
          <w:jc w:val="center"/>
        </w:trPr>
        <w:tc>
          <w:tcPr>
            <w:tcW w:w="1484" w:type="dxa"/>
            <w:shd w:val="clear" w:color="auto" w:fill="D9D9D9" w:themeFill="background1" w:themeFillShade="D9"/>
            <w:vAlign w:val="center"/>
          </w:tcPr>
          <w:p w:rsidR="008E3566" w:rsidRDefault="008E3566" w:rsidP="00DE61FB">
            <w:pPr>
              <w:jc w:val="center"/>
              <w:rPr>
                <w:rFonts w:ascii="Arial" w:hAnsi="Arial" w:cs="Arial"/>
                <w:i/>
                <w:sz w:val="19"/>
                <w:szCs w:val="19"/>
              </w:rPr>
            </w:pPr>
            <w:r>
              <w:rPr>
                <w:rFonts w:ascii="Arial" w:hAnsi="Arial" w:cs="Arial"/>
                <w:i/>
                <w:sz w:val="19"/>
                <w:szCs w:val="19"/>
              </w:rPr>
              <w:t>(1)</w:t>
            </w:r>
          </w:p>
          <w:p w:rsidR="008E3566" w:rsidRPr="00E74FE0" w:rsidRDefault="008E3566" w:rsidP="00DE61FB">
            <w:pPr>
              <w:jc w:val="center"/>
              <w:rPr>
                <w:rFonts w:ascii="Arial" w:hAnsi="Arial" w:cs="Arial"/>
                <w:i/>
                <w:sz w:val="19"/>
                <w:szCs w:val="19"/>
              </w:rPr>
            </w:pPr>
            <w:r>
              <w:rPr>
                <w:rFonts w:ascii="Arial" w:hAnsi="Arial" w:cs="Arial"/>
                <w:i/>
                <w:sz w:val="19"/>
                <w:szCs w:val="19"/>
              </w:rPr>
              <w:t xml:space="preserve">High School </w:t>
            </w:r>
            <w:r w:rsidRPr="00E74FE0">
              <w:rPr>
                <w:rFonts w:ascii="Arial" w:hAnsi="Arial" w:cs="Arial"/>
                <w:i/>
                <w:sz w:val="19"/>
                <w:szCs w:val="19"/>
              </w:rPr>
              <w:t>Curriculum</w:t>
            </w:r>
          </w:p>
        </w:tc>
        <w:tc>
          <w:tcPr>
            <w:tcW w:w="8132" w:type="dxa"/>
            <w:vAlign w:val="center"/>
          </w:tcPr>
          <w:p w:rsidR="008E3566" w:rsidRPr="007A1B66" w:rsidRDefault="008E3566" w:rsidP="00DE61FB">
            <w:pPr>
              <w:spacing w:before="120" w:line="360" w:lineRule="auto"/>
              <w:jc w:val="center"/>
              <w:rPr>
                <w:rFonts w:ascii="Arial" w:hAnsi="Arial" w:cs="Arial"/>
                <w:szCs w:val="20"/>
              </w:rPr>
            </w:pPr>
            <w:r w:rsidRPr="00B861F1">
              <w:rPr>
                <w:rFonts w:ascii="Arial" w:hAnsi="Arial" w:cs="Arial"/>
                <w:b/>
                <w:szCs w:val="20"/>
              </w:rPr>
              <w:t>Regents’ Core</w:t>
            </w:r>
            <w:r w:rsidRPr="007A1B66">
              <w:rPr>
                <w:rFonts w:ascii="Arial" w:hAnsi="Arial" w:cs="Arial"/>
                <w:szCs w:val="20"/>
              </w:rPr>
              <w:t>: 19 units</w:t>
            </w:r>
            <w:r w:rsidRPr="007A1B66">
              <w:rPr>
                <w:rFonts w:ascii="Arial" w:hAnsi="Arial" w:cs="Arial"/>
                <w:b/>
                <w:sz w:val="20"/>
                <w:szCs w:val="19"/>
              </w:rPr>
              <w:t xml:space="preserve"> </w:t>
            </w:r>
            <w:r w:rsidRPr="007A1B66">
              <w:rPr>
                <w:rFonts w:ascii="Arial" w:hAnsi="Arial" w:cs="Arial"/>
                <w:szCs w:val="20"/>
              </w:rPr>
              <w:t xml:space="preserve">(from </w:t>
            </w:r>
            <w:r w:rsidRPr="007A1B66">
              <w:rPr>
                <w:rFonts w:ascii="Arial" w:hAnsi="Arial" w:cs="Arial"/>
                <w:i/>
                <w:szCs w:val="20"/>
              </w:rPr>
              <w:t>TOPS University</w:t>
            </w:r>
            <w:r w:rsidRPr="007A1B66">
              <w:rPr>
                <w:rFonts w:ascii="Arial" w:hAnsi="Arial" w:cs="Arial"/>
                <w:szCs w:val="20"/>
              </w:rPr>
              <w:t xml:space="preserve"> </w:t>
            </w:r>
            <w:r>
              <w:rPr>
                <w:rFonts w:ascii="Arial" w:hAnsi="Arial" w:cs="Arial"/>
                <w:szCs w:val="20"/>
              </w:rPr>
              <w:t xml:space="preserve">or </w:t>
            </w:r>
            <w:r>
              <w:rPr>
                <w:rFonts w:ascii="Arial" w:hAnsi="Arial" w:cs="Arial"/>
                <w:i/>
                <w:szCs w:val="20"/>
              </w:rPr>
              <w:t xml:space="preserve">Core </w:t>
            </w:r>
            <w:r w:rsidRPr="00B861F1">
              <w:rPr>
                <w:rFonts w:ascii="Arial" w:hAnsi="Arial" w:cs="Arial"/>
                <w:i/>
                <w:szCs w:val="20"/>
              </w:rPr>
              <w:t>4</w:t>
            </w:r>
            <w:r>
              <w:rPr>
                <w:rFonts w:ascii="Arial" w:hAnsi="Arial" w:cs="Arial"/>
                <w:szCs w:val="20"/>
              </w:rPr>
              <w:t xml:space="preserve"> </w:t>
            </w:r>
            <w:r w:rsidRPr="00B861F1">
              <w:rPr>
                <w:rFonts w:ascii="Arial" w:hAnsi="Arial" w:cs="Arial"/>
                <w:szCs w:val="20"/>
              </w:rPr>
              <w:t>Curriculum</w:t>
            </w:r>
            <w:r w:rsidRPr="007A1B66">
              <w:rPr>
                <w:rFonts w:ascii="Arial" w:hAnsi="Arial" w:cs="Arial"/>
                <w:szCs w:val="20"/>
              </w:rPr>
              <w:t>)</w:t>
            </w:r>
          </w:p>
          <w:p w:rsidR="008E3566" w:rsidRPr="00E06611" w:rsidRDefault="008E3566" w:rsidP="00DE61FB">
            <w:pPr>
              <w:jc w:val="center"/>
              <w:rPr>
                <w:rFonts w:ascii="Arial" w:hAnsi="Arial" w:cs="Arial"/>
                <w:i/>
                <w:sz w:val="16"/>
                <w:szCs w:val="16"/>
              </w:rPr>
            </w:pPr>
            <w:r>
              <w:rPr>
                <w:rFonts w:ascii="Arial" w:hAnsi="Arial" w:cs="Arial"/>
                <w:sz w:val="20"/>
                <w:szCs w:val="20"/>
              </w:rPr>
              <w:t>Those courses in the English, Math, Science, Social Studies, Foreign Language, and Arts Categories as defined in the</w:t>
            </w:r>
            <w:r>
              <w:rPr>
                <w:rFonts w:ascii="Arial" w:hAnsi="Arial" w:cs="Arial"/>
                <w:b/>
                <w:sz w:val="20"/>
                <w:szCs w:val="20"/>
              </w:rPr>
              <w:t xml:space="preserve"> TOPS University Diploma </w:t>
            </w:r>
            <w:r w:rsidRPr="00B861F1">
              <w:rPr>
                <w:rFonts w:ascii="Arial" w:hAnsi="Arial" w:cs="Arial"/>
                <w:sz w:val="20"/>
                <w:szCs w:val="20"/>
              </w:rPr>
              <w:t>or</w:t>
            </w:r>
            <w:r>
              <w:rPr>
                <w:rFonts w:ascii="Arial" w:hAnsi="Arial" w:cs="Arial"/>
                <w:b/>
                <w:sz w:val="20"/>
                <w:szCs w:val="20"/>
              </w:rPr>
              <w:t xml:space="preserve"> </w:t>
            </w:r>
            <w:r>
              <w:rPr>
                <w:rFonts w:ascii="Arial" w:hAnsi="Arial" w:cs="Arial"/>
                <w:sz w:val="20"/>
                <w:szCs w:val="20"/>
              </w:rPr>
              <w:t xml:space="preserve">the </w:t>
            </w:r>
            <w:r w:rsidRPr="005A68A6">
              <w:rPr>
                <w:rFonts w:ascii="Arial" w:hAnsi="Arial" w:cs="Arial"/>
                <w:b/>
                <w:sz w:val="20"/>
                <w:szCs w:val="20"/>
              </w:rPr>
              <w:t xml:space="preserve">Core 4 </w:t>
            </w:r>
            <w:r w:rsidRPr="00F964EC">
              <w:rPr>
                <w:rFonts w:ascii="Arial" w:hAnsi="Arial" w:cs="Arial"/>
                <w:sz w:val="20"/>
                <w:szCs w:val="20"/>
              </w:rPr>
              <w:t>Curriculum</w:t>
            </w:r>
            <w:r>
              <w:rPr>
                <w:rFonts w:ascii="Arial" w:hAnsi="Arial" w:cs="Arial"/>
                <w:sz w:val="20"/>
                <w:szCs w:val="20"/>
              </w:rPr>
              <w:t xml:space="preserve"> listed in LA Department of Education </w:t>
            </w:r>
            <w:r w:rsidRPr="00E06611">
              <w:rPr>
                <w:rFonts w:ascii="Arial" w:hAnsi="Arial" w:cs="Arial"/>
                <w:b/>
                <w:sz w:val="20"/>
                <w:szCs w:val="20"/>
              </w:rPr>
              <w:t>Bulletins 741</w:t>
            </w:r>
            <w:r>
              <w:rPr>
                <w:rFonts w:ascii="Arial" w:hAnsi="Arial" w:cs="Arial"/>
                <w:sz w:val="20"/>
                <w:szCs w:val="20"/>
              </w:rPr>
              <w:t xml:space="preserve"> </w:t>
            </w:r>
          </w:p>
          <w:p w:rsidR="008E3566" w:rsidRDefault="008E3566" w:rsidP="00DE61FB">
            <w:pPr>
              <w:jc w:val="center"/>
              <w:rPr>
                <w:i/>
                <w:sz w:val="18"/>
                <w:szCs w:val="18"/>
              </w:rPr>
            </w:pPr>
            <w:r>
              <w:rPr>
                <w:rFonts w:ascii="Arial" w:hAnsi="Arial" w:cs="Arial"/>
                <w:i/>
                <w:sz w:val="16"/>
                <w:szCs w:val="16"/>
              </w:rPr>
              <w:t>(</w:t>
            </w:r>
            <w:r w:rsidRPr="00E06611">
              <w:rPr>
                <w:rFonts w:ascii="Arial" w:hAnsi="Arial" w:cs="Arial"/>
                <w:i/>
                <w:sz w:val="16"/>
                <w:szCs w:val="16"/>
              </w:rPr>
              <w:t>L</w:t>
            </w:r>
            <w:r>
              <w:rPr>
                <w:rFonts w:ascii="Arial" w:hAnsi="Arial" w:cs="Arial"/>
                <w:i/>
                <w:sz w:val="16"/>
                <w:szCs w:val="16"/>
              </w:rPr>
              <w:t>ouisiana</w:t>
            </w:r>
            <w:r w:rsidRPr="00E06611">
              <w:rPr>
                <w:rFonts w:ascii="Arial" w:hAnsi="Arial" w:cs="Arial"/>
                <w:i/>
                <w:sz w:val="16"/>
                <w:szCs w:val="16"/>
              </w:rPr>
              <w:t xml:space="preserve"> Handbook for School Administrator</w:t>
            </w:r>
            <w:r>
              <w:rPr>
                <w:rFonts w:ascii="Arial" w:hAnsi="Arial" w:cs="Arial"/>
                <w:i/>
                <w:sz w:val="16"/>
                <w:szCs w:val="16"/>
              </w:rPr>
              <w:t>s; and</w:t>
            </w:r>
            <w:r w:rsidRPr="004173CE">
              <w:rPr>
                <w:rFonts w:ascii="Arial" w:hAnsi="Arial" w:cs="Arial"/>
                <w:sz w:val="16"/>
                <w:szCs w:val="16"/>
              </w:rPr>
              <w:t xml:space="preserve"> </w:t>
            </w:r>
            <w:r>
              <w:rPr>
                <w:rFonts w:ascii="Arial" w:hAnsi="Arial" w:cs="Arial"/>
                <w:i/>
                <w:sz w:val="16"/>
                <w:szCs w:val="16"/>
              </w:rPr>
              <w:t>Louisiana</w:t>
            </w:r>
            <w:r w:rsidRPr="00E06611">
              <w:rPr>
                <w:rFonts w:ascii="Arial" w:hAnsi="Arial" w:cs="Arial"/>
                <w:i/>
                <w:sz w:val="16"/>
                <w:szCs w:val="16"/>
              </w:rPr>
              <w:t xml:space="preserve"> Handbook for Nonpublic School Administrators</w:t>
            </w:r>
            <w:r>
              <w:rPr>
                <w:rFonts w:ascii="Arial" w:hAnsi="Arial" w:cs="Arial"/>
                <w:sz w:val="16"/>
                <w:szCs w:val="16"/>
              </w:rPr>
              <w:t>)</w:t>
            </w:r>
          </w:p>
        </w:tc>
      </w:tr>
      <w:tr w:rsidR="008E3566" w:rsidTr="00DE61FB">
        <w:trPr>
          <w:trHeight w:val="345"/>
          <w:jc w:val="center"/>
        </w:trPr>
        <w:tc>
          <w:tcPr>
            <w:tcW w:w="1484" w:type="dxa"/>
            <w:shd w:val="clear" w:color="auto" w:fill="D9D9D9" w:themeFill="background1" w:themeFillShade="D9"/>
            <w:vAlign w:val="center"/>
          </w:tcPr>
          <w:p w:rsidR="008E3566" w:rsidRPr="00E74FE0" w:rsidRDefault="008E3566" w:rsidP="00DE61FB">
            <w:pPr>
              <w:jc w:val="center"/>
              <w:rPr>
                <w:rFonts w:ascii="Arial" w:hAnsi="Arial" w:cs="Arial"/>
                <w:i/>
                <w:sz w:val="19"/>
                <w:szCs w:val="19"/>
              </w:rPr>
            </w:pPr>
          </w:p>
        </w:tc>
        <w:tc>
          <w:tcPr>
            <w:tcW w:w="8132" w:type="dxa"/>
          </w:tcPr>
          <w:p w:rsidR="008E3566" w:rsidRPr="007A1B66" w:rsidRDefault="008E3566" w:rsidP="00DE61FB">
            <w:pPr>
              <w:spacing w:before="40" w:after="40"/>
              <w:jc w:val="center"/>
              <w:rPr>
                <w:rFonts w:ascii="Arial" w:hAnsi="Arial" w:cs="Arial"/>
                <w:b/>
                <w:i/>
                <w:u w:val="single"/>
              </w:rPr>
            </w:pPr>
            <w:r w:rsidRPr="007A1B66">
              <w:rPr>
                <w:rFonts w:ascii="Arial" w:hAnsi="Arial" w:cs="Arial"/>
                <w:b/>
                <w:i/>
                <w:u w:val="single"/>
              </w:rPr>
              <w:t>AND</w:t>
            </w:r>
          </w:p>
        </w:tc>
      </w:tr>
      <w:tr w:rsidR="008E3566" w:rsidTr="00091664">
        <w:trPr>
          <w:trHeight w:val="530"/>
          <w:jc w:val="center"/>
        </w:trPr>
        <w:tc>
          <w:tcPr>
            <w:tcW w:w="1484" w:type="dxa"/>
            <w:shd w:val="clear" w:color="auto" w:fill="D9D9D9" w:themeFill="background1" w:themeFillShade="D9"/>
            <w:vAlign w:val="center"/>
          </w:tcPr>
          <w:p w:rsidR="008E3566" w:rsidRPr="008E3566" w:rsidRDefault="008E3566" w:rsidP="008E3566">
            <w:pPr>
              <w:jc w:val="center"/>
              <w:rPr>
                <w:rFonts w:ascii="Arial" w:hAnsi="Arial" w:cs="Arial"/>
                <w:i/>
                <w:sz w:val="21"/>
                <w:szCs w:val="21"/>
              </w:rPr>
            </w:pPr>
            <w:r w:rsidRPr="008E3566">
              <w:rPr>
                <w:rFonts w:ascii="Arial" w:hAnsi="Arial" w:cs="Arial"/>
                <w:i/>
                <w:sz w:val="21"/>
                <w:szCs w:val="21"/>
              </w:rPr>
              <w:t>(2)</w:t>
            </w:r>
          </w:p>
          <w:p w:rsidR="008E3566" w:rsidRPr="008E3566" w:rsidRDefault="008E3566" w:rsidP="008E3566">
            <w:pPr>
              <w:spacing w:line="276" w:lineRule="auto"/>
              <w:jc w:val="center"/>
              <w:rPr>
                <w:rFonts w:ascii="Arial" w:hAnsi="Arial" w:cs="Arial"/>
                <w:i/>
                <w:sz w:val="21"/>
                <w:szCs w:val="21"/>
              </w:rPr>
            </w:pPr>
            <w:r w:rsidRPr="008E3566">
              <w:rPr>
                <w:rFonts w:ascii="Arial" w:hAnsi="Arial" w:cs="Arial"/>
                <w:i/>
                <w:sz w:val="21"/>
                <w:szCs w:val="21"/>
              </w:rPr>
              <w:t xml:space="preserve">HS GPA, </w:t>
            </w:r>
          </w:p>
        </w:tc>
        <w:tc>
          <w:tcPr>
            <w:tcW w:w="8132" w:type="dxa"/>
            <w:vAlign w:val="center"/>
          </w:tcPr>
          <w:p w:rsidR="008E3566" w:rsidRPr="0028782A" w:rsidRDefault="008E3566" w:rsidP="008E3566">
            <w:pPr>
              <w:jc w:val="center"/>
              <w:rPr>
                <w:rFonts w:ascii="Arial" w:hAnsi="Arial" w:cs="Arial"/>
              </w:rPr>
            </w:pPr>
            <w:r w:rsidRPr="0028782A">
              <w:rPr>
                <w:rFonts w:ascii="Arial" w:hAnsi="Arial" w:cs="Arial"/>
              </w:rPr>
              <w:t xml:space="preserve">Minimum </w:t>
            </w:r>
            <w:r>
              <w:rPr>
                <w:rFonts w:ascii="Arial" w:hAnsi="Arial" w:cs="Arial"/>
              </w:rPr>
              <w:t>O</w:t>
            </w:r>
            <w:r w:rsidRPr="0028782A">
              <w:rPr>
                <w:rFonts w:ascii="Arial" w:hAnsi="Arial" w:cs="Arial"/>
              </w:rPr>
              <w:t>verall HS GPA 2.0</w:t>
            </w:r>
          </w:p>
        </w:tc>
      </w:tr>
      <w:tr w:rsidR="008E3566" w:rsidTr="00DE61FB">
        <w:trPr>
          <w:trHeight w:val="359"/>
          <w:jc w:val="center"/>
        </w:trPr>
        <w:tc>
          <w:tcPr>
            <w:tcW w:w="1484" w:type="dxa"/>
            <w:tcBorders>
              <w:bottom w:val="single" w:sz="4" w:space="0" w:color="000000" w:themeColor="text1"/>
            </w:tcBorders>
            <w:shd w:val="clear" w:color="auto" w:fill="D9D9D9" w:themeFill="background1" w:themeFillShade="D9"/>
            <w:vAlign w:val="center"/>
          </w:tcPr>
          <w:p w:rsidR="008E3566" w:rsidRPr="008E3566" w:rsidRDefault="008E3566" w:rsidP="00DE61FB">
            <w:pPr>
              <w:jc w:val="center"/>
              <w:rPr>
                <w:rFonts w:ascii="Arial" w:hAnsi="Arial" w:cs="Arial"/>
                <w:i/>
                <w:sz w:val="21"/>
                <w:szCs w:val="21"/>
              </w:rPr>
            </w:pPr>
          </w:p>
        </w:tc>
        <w:tc>
          <w:tcPr>
            <w:tcW w:w="8132" w:type="dxa"/>
            <w:vAlign w:val="center"/>
          </w:tcPr>
          <w:p w:rsidR="008E3566" w:rsidRPr="0028782A" w:rsidRDefault="008E3566" w:rsidP="00DE61FB">
            <w:pPr>
              <w:spacing w:before="40" w:after="40"/>
              <w:jc w:val="center"/>
              <w:rPr>
                <w:rFonts w:ascii="Arial" w:hAnsi="Arial" w:cs="Arial"/>
                <w:b/>
                <w:i/>
                <w:u w:val="single"/>
              </w:rPr>
            </w:pPr>
            <w:r w:rsidRPr="0028782A">
              <w:rPr>
                <w:rFonts w:ascii="Arial" w:hAnsi="Arial" w:cs="Arial"/>
                <w:b/>
                <w:i/>
                <w:u w:val="single"/>
              </w:rPr>
              <w:t>AND ONE of the FOLLOWING</w:t>
            </w:r>
          </w:p>
        </w:tc>
      </w:tr>
      <w:tr w:rsidR="008E3566" w:rsidTr="008E3566">
        <w:trPr>
          <w:trHeight w:val="1025"/>
          <w:jc w:val="center"/>
        </w:trPr>
        <w:tc>
          <w:tcPr>
            <w:tcW w:w="1484" w:type="dxa"/>
            <w:vMerge w:val="restart"/>
            <w:tcBorders>
              <w:bottom w:val="single" w:sz="4" w:space="0" w:color="000000" w:themeColor="text1"/>
            </w:tcBorders>
            <w:shd w:val="clear" w:color="auto" w:fill="D9D9D9" w:themeFill="background1" w:themeFillShade="D9"/>
            <w:vAlign w:val="center"/>
          </w:tcPr>
          <w:p w:rsidR="008E3566" w:rsidRPr="008E3566" w:rsidRDefault="008E3566" w:rsidP="00DE61FB">
            <w:pPr>
              <w:jc w:val="center"/>
              <w:rPr>
                <w:rFonts w:ascii="Arial" w:hAnsi="Arial" w:cs="Arial"/>
                <w:i/>
                <w:sz w:val="21"/>
                <w:szCs w:val="21"/>
              </w:rPr>
            </w:pPr>
            <w:r w:rsidRPr="008E3566">
              <w:rPr>
                <w:rFonts w:ascii="Arial" w:hAnsi="Arial" w:cs="Arial"/>
                <w:i/>
                <w:sz w:val="21"/>
                <w:szCs w:val="21"/>
              </w:rPr>
              <w:t>(3)</w:t>
            </w:r>
          </w:p>
          <w:p w:rsidR="008E3566" w:rsidRPr="008E3566" w:rsidRDefault="008E3566" w:rsidP="00DE61FB">
            <w:pPr>
              <w:jc w:val="center"/>
              <w:rPr>
                <w:rFonts w:ascii="Arial" w:hAnsi="Arial" w:cs="Arial"/>
                <w:i/>
                <w:sz w:val="21"/>
                <w:szCs w:val="21"/>
              </w:rPr>
            </w:pPr>
            <w:r w:rsidRPr="008E3566">
              <w:rPr>
                <w:rFonts w:ascii="Arial" w:hAnsi="Arial" w:cs="Arial"/>
                <w:i/>
                <w:sz w:val="21"/>
                <w:szCs w:val="21"/>
              </w:rPr>
              <w:t>HS Core GPA</w:t>
            </w:r>
          </w:p>
          <w:p w:rsidR="008E3566" w:rsidRPr="008E3566" w:rsidRDefault="008E3566" w:rsidP="00DE61FB">
            <w:pPr>
              <w:jc w:val="center"/>
              <w:rPr>
                <w:rFonts w:ascii="Arial" w:hAnsi="Arial" w:cs="Arial"/>
                <w:i/>
                <w:sz w:val="21"/>
                <w:szCs w:val="21"/>
              </w:rPr>
            </w:pPr>
          </w:p>
          <w:p w:rsidR="008E3566" w:rsidRPr="008E3566" w:rsidRDefault="008E3566" w:rsidP="008E3566">
            <w:pPr>
              <w:spacing w:before="120"/>
              <w:jc w:val="center"/>
              <w:rPr>
                <w:rFonts w:ascii="Arial" w:hAnsi="Arial" w:cs="Arial"/>
                <w:i/>
                <w:sz w:val="21"/>
                <w:szCs w:val="21"/>
              </w:rPr>
            </w:pPr>
            <w:r w:rsidRPr="008E3566">
              <w:rPr>
                <w:rFonts w:ascii="Arial" w:hAnsi="Arial" w:cs="Arial"/>
                <w:i/>
                <w:sz w:val="21"/>
                <w:szCs w:val="21"/>
              </w:rPr>
              <w:t>-or-</w:t>
            </w:r>
          </w:p>
          <w:p w:rsidR="008E3566" w:rsidRPr="008E3566" w:rsidRDefault="008E3566" w:rsidP="00DE61FB">
            <w:pPr>
              <w:spacing w:before="240"/>
              <w:jc w:val="center"/>
              <w:rPr>
                <w:rFonts w:ascii="Arial" w:hAnsi="Arial" w:cs="Arial"/>
                <w:i/>
                <w:sz w:val="21"/>
                <w:szCs w:val="21"/>
              </w:rPr>
            </w:pPr>
          </w:p>
          <w:p w:rsidR="008E3566" w:rsidRPr="008E3566" w:rsidRDefault="008E3566" w:rsidP="00DE61FB">
            <w:pPr>
              <w:jc w:val="center"/>
              <w:rPr>
                <w:rFonts w:ascii="Arial" w:hAnsi="Arial" w:cs="Arial"/>
                <w:i/>
                <w:sz w:val="21"/>
                <w:szCs w:val="21"/>
                <w:highlight w:val="lightGray"/>
              </w:rPr>
            </w:pPr>
            <w:r w:rsidRPr="008E3566">
              <w:rPr>
                <w:rFonts w:ascii="Arial" w:hAnsi="Arial" w:cs="Arial"/>
                <w:i/>
                <w:sz w:val="21"/>
                <w:szCs w:val="21"/>
              </w:rPr>
              <w:t>ACT</w:t>
            </w:r>
          </w:p>
        </w:tc>
        <w:tc>
          <w:tcPr>
            <w:tcW w:w="8132" w:type="dxa"/>
            <w:vAlign w:val="center"/>
          </w:tcPr>
          <w:p w:rsidR="008E3566" w:rsidRPr="0028782A" w:rsidRDefault="008E3566" w:rsidP="00DE61FB">
            <w:pPr>
              <w:spacing w:before="40" w:line="276" w:lineRule="auto"/>
              <w:jc w:val="center"/>
              <w:rPr>
                <w:rFonts w:ascii="Arial" w:hAnsi="Arial" w:cs="Arial"/>
              </w:rPr>
            </w:pPr>
            <w:r w:rsidRPr="0028782A">
              <w:rPr>
                <w:rFonts w:ascii="Arial" w:hAnsi="Arial" w:cs="Arial"/>
              </w:rPr>
              <w:t>GPA on the</w:t>
            </w:r>
            <w:r w:rsidRPr="0028782A">
              <w:rPr>
                <w:rFonts w:ascii="Arial" w:hAnsi="Arial" w:cs="Arial"/>
                <w:b/>
              </w:rPr>
              <w:t xml:space="preserve"> </w:t>
            </w:r>
            <w:r w:rsidRPr="0028782A">
              <w:rPr>
                <w:rFonts w:ascii="Arial" w:hAnsi="Arial" w:cs="Arial"/>
                <w:i/>
              </w:rPr>
              <w:t>Core</w:t>
            </w:r>
            <w:r w:rsidRPr="0028782A">
              <w:rPr>
                <w:rFonts w:ascii="Arial" w:hAnsi="Arial" w:cs="Arial"/>
              </w:rPr>
              <w:t xml:space="preserve"> — 3.0 – Flagship</w:t>
            </w:r>
          </w:p>
          <w:p w:rsidR="008E3566" w:rsidRPr="0028782A" w:rsidRDefault="008E3566" w:rsidP="00DE61FB">
            <w:pPr>
              <w:spacing w:line="276" w:lineRule="auto"/>
              <w:jc w:val="center"/>
              <w:rPr>
                <w:rFonts w:ascii="Arial" w:hAnsi="Arial" w:cs="Arial"/>
              </w:rPr>
            </w:pPr>
            <w:r w:rsidRPr="0028782A">
              <w:rPr>
                <w:rFonts w:ascii="Arial" w:hAnsi="Arial" w:cs="Arial"/>
              </w:rPr>
              <w:t xml:space="preserve">GPA on the </w:t>
            </w:r>
            <w:r w:rsidRPr="0028782A">
              <w:rPr>
                <w:rFonts w:ascii="Arial" w:hAnsi="Arial" w:cs="Arial"/>
                <w:i/>
              </w:rPr>
              <w:t>Core</w:t>
            </w:r>
            <w:r w:rsidRPr="0028782A">
              <w:rPr>
                <w:rFonts w:ascii="Arial" w:hAnsi="Arial" w:cs="Arial"/>
              </w:rPr>
              <w:t xml:space="preserve"> — 2.5 – Statewide</w:t>
            </w:r>
          </w:p>
          <w:p w:rsidR="008E3566" w:rsidRPr="0028782A" w:rsidRDefault="008E3566" w:rsidP="00DE61FB">
            <w:pPr>
              <w:spacing w:after="40" w:line="276" w:lineRule="auto"/>
              <w:jc w:val="center"/>
              <w:rPr>
                <w:rFonts w:ascii="Arial" w:hAnsi="Arial" w:cs="Arial"/>
                <w:i/>
              </w:rPr>
            </w:pPr>
            <w:r w:rsidRPr="0028782A">
              <w:rPr>
                <w:rFonts w:ascii="Arial" w:hAnsi="Arial" w:cs="Arial"/>
              </w:rPr>
              <w:t xml:space="preserve">GPA on the </w:t>
            </w:r>
            <w:r w:rsidRPr="0028782A">
              <w:rPr>
                <w:rFonts w:ascii="Arial" w:hAnsi="Arial" w:cs="Arial"/>
                <w:i/>
              </w:rPr>
              <w:t>Core</w:t>
            </w:r>
            <w:r w:rsidRPr="0028782A">
              <w:rPr>
                <w:rFonts w:ascii="Arial" w:hAnsi="Arial" w:cs="Arial"/>
                <w:b/>
                <w:color w:val="FF0000"/>
              </w:rPr>
              <w:t xml:space="preserve"> </w:t>
            </w:r>
            <w:r w:rsidRPr="0028782A">
              <w:rPr>
                <w:rFonts w:ascii="Arial" w:hAnsi="Arial" w:cs="Arial"/>
              </w:rPr>
              <w:t>— 2.0 – Regional</w:t>
            </w:r>
          </w:p>
        </w:tc>
      </w:tr>
      <w:tr w:rsidR="008E3566" w:rsidTr="004E5A45">
        <w:trPr>
          <w:trHeight w:val="305"/>
          <w:jc w:val="center"/>
        </w:trPr>
        <w:tc>
          <w:tcPr>
            <w:tcW w:w="1484" w:type="dxa"/>
            <w:vMerge/>
            <w:tcBorders>
              <w:bottom w:val="single" w:sz="4" w:space="0" w:color="000000" w:themeColor="text1"/>
            </w:tcBorders>
            <w:shd w:val="clear" w:color="auto" w:fill="D9D9D9" w:themeFill="background1" w:themeFillShade="D9"/>
            <w:vAlign w:val="center"/>
          </w:tcPr>
          <w:p w:rsidR="008E3566" w:rsidRPr="004E5A45" w:rsidRDefault="008E3566" w:rsidP="00DE61FB">
            <w:pPr>
              <w:jc w:val="center"/>
              <w:rPr>
                <w:i/>
                <w:sz w:val="21"/>
                <w:szCs w:val="21"/>
                <w:highlight w:val="lightGray"/>
              </w:rPr>
            </w:pPr>
          </w:p>
        </w:tc>
        <w:tc>
          <w:tcPr>
            <w:tcW w:w="8132" w:type="dxa"/>
          </w:tcPr>
          <w:p w:rsidR="008E3566" w:rsidRPr="0028782A" w:rsidRDefault="008E3566" w:rsidP="00DE61FB">
            <w:pPr>
              <w:spacing w:before="40" w:after="40"/>
              <w:jc w:val="center"/>
              <w:rPr>
                <w:rFonts w:ascii="Arial" w:hAnsi="Arial" w:cs="Arial"/>
                <w:b/>
                <w:i/>
                <w:u w:val="single"/>
              </w:rPr>
            </w:pPr>
            <w:r w:rsidRPr="0028782A">
              <w:rPr>
                <w:rFonts w:ascii="Arial" w:hAnsi="Arial" w:cs="Arial"/>
                <w:b/>
                <w:i/>
                <w:u w:val="single"/>
              </w:rPr>
              <w:t>OR</w:t>
            </w:r>
          </w:p>
        </w:tc>
      </w:tr>
      <w:tr w:rsidR="008E3566" w:rsidTr="004E5A45">
        <w:trPr>
          <w:trHeight w:val="1025"/>
          <w:jc w:val="center"/>
        </w:trPr>
        <w:tc>
          <w:tcPr>
            <w:tcW w:w="1484" w:type="dxa"/>
            <w:vMerge/>
            <w:tcBorders>
              <w:bottom w:val="single" w:sz="4" w:space="0" w:color="000000" w:themeColor="text1"/>
            </w:tcBorders>
            <w:shd w:val="clear" w:color="auto" w:fill="D9D9D9" w:themeFill="background1" w:themeFillShade="D9"/>
            <w:vAlign w:val="center"/>
          </w:tcPr>
          <w:p w:rsidR="008E3566" w:rsidRPr="004E5A45" w:rsidRDefault="008E3566" w:rsidP="00DE61FB">
            <w:pPr>
              <w:jc w:val="center"/>
              <w:rPr>
                <w:i/>
                <w:sz w:val="21"/>
                <w:szCs w:val="21"/>
                <w:highlight w:val="lightGray"/>
              </w:rPr>
            </w:pPr>
          </w:p>
        </w:tc>
        <w:tc>
          <w:tcPr>
            <w:tcW w:w="8132" w:type="dxa"/>
            <w:vAlign w:val="center"/>
          </w:tcPr>
          <w:p w:rsidR="008E3566" w:rsidRPr="0028782A" w:rsidRDefault="008E3566" w:rsidP="00DE61FB">
            <w:pPr>
              <w:spacing w:before="40" w:line="276" w:lineRule="auto"/>
              <w:jc w:val="center"/>
              <w:rPr>
                <w:rFonts w:ascii="Arial" w:hAnsi="Arial" w:cs="Arial"/>
              </w:rPr>
            </w:pPr>
            <w:r w:rsidRPr="0028782A">
              <w:rPr>
                <w:rFonts w:ascii="Arial" w:hAnsi="Arial" w:cs="Arial"/>
              </w:rPr>
              <w:t>ACT Composite — 25 – Flagship</w:t>
            </w:r>
          </w:p>
          <w:p w:rsidR="008E3566" w:rsidRPr="0028782A" w:rsidRDefault="008E3566" w:rsidP="00DE61FB">
            <w:pPr>
              <w:spacing w:line="276" w:lineRule="auto"/>
              <w:jc w:val="center"/>
              <w:rPr>
                <w:rFonts w:ascii="Arial" w:hAnsi="Arial" w:cs="Arial"/>
              </w:rPr>
            </w:pPr>
            <w:r w:rsidRPr="0028782A">
              <w:rPr>
                <w:rFonts w:ascii="Arial" w:hAnsi="Arial" w:cs="Arial"/>
              </w:rPr>
              <w:t>ACT Composite — 23 – Statewide</w:t>
            </w:r>
          </w:p>
          <w:p w:rsidR="008E3566" w:rsidRPr="0028782A" w:rsidRDefault="008E3566" w:rsidP="00DE61FB">
            <w:pPr>
              <w:spacing w:after="40" w:line="276" w:lineRule="auto"/>
              <w:jc w:val="center"/>
              <w:rPr>
                <w:rFonts w:ascii="Arial" w:hAnsi="Arial" w:cs="Arial"/>
                <w:i/>
              </w:rPr>
            </w:pPr>
            <w:r w:rsidRPr="0028782A">
              <w:rPr>
                <w:rFonts w:ascii="Arial" w:hAnsi="Arial" w:cs="Arial"/>
              </w:rPr>
              <w:t>ACT Composite — 20 – Regional</w:t>
            </w:r>
          </w:p>
        </w:tc>
      </w:tr>
      <w:tr w:rsidR="008E3566" w:rsidRPr="007A1B66" w:rsidTr="004E5A45">
        <w:trPr>
          <w:trHeight w:val="305"/>
          <w:jc w:val="center"/>
        </w:trPr>
        <w:tc>
          <w:tcPr>
            <w:tcW w:w="1484" w:type="dxa"/>
            <w:shd w:val="clear" w:color="auto" w:fill="D9D9D9" w:themeFill="background1" w:themeFillShade="D9"/>
            <w:vAlign w:val="center"/>
          </w:tcPr>
          <w:p w:rsidR="008E3566" w:rsidRPr="008E3566" w:rsidRDefault="008E3566" w:rsidP="00DE61FB">
            <w:pPr>
              <w:jc w:val="center"/>
              <w:rPr>
                <w:rFonts w:ascii="Arial" w:hAnsi="Arial" w:cs="Arial"/>
                <w:i/>
                <w:sz w:val="21"/>
                <w:szCs w:val="21"/>
              </w:rPr>
            </w:pPr>
          </w:p>
        </w:tc>
        <w:tc>
          <w:tcPr>
            <w:tcW w:w="8132" w:type="dxa"/>
          </w:tcPr>
          <w:p w:rsidR="008E3566" w:rsidRPr="0028782A" w:rsidRDefault="008E3566" w:rsidP="00DE61FB">
            <w:pPr>
              <w:spacing w:before="40" w:after="40"/>
              <w:jc w:val="center"/>
              <w:rPr>
                <w:rFonts w:ascii="Arial" w:hAnsi="Arial" w:cs="Arial"/>
                <w:b/>
                <w:i/>
                <w:u w:val="single"/>
              </w:rPr>
            </w:pPr>
            <w:r w:rsidRPr="0028782A">
              <w:rPr>
                <w:rFonts w:ascii="Arial" w:hAnsi="Arial" w:cs="Arial"/>
                <w:b/>
                <w:i/>
                <w:u w:val="single"/>
              </w:rPr>
              <w:t>AND</w:t>
            </w:r>
          </w:p>
        </w:tc>
      </w:tr>
      <w:tr w:rsidR="008E3566" w:rsidRPr="007A1B66" w:rsidTr="004E5A45">
        <w:trPr>
          <w:trHeight w:val="953"/>
          <w:jc w:val="center"/>
        </w:trPr>
        <w:tc>
          <w:tcPr>
            <w:tcW w:w="1484" w:type="dxa"/>
            <w:shd w:val="clear" w:color="auto" w:fill="D9D9D9" w:themeFill="background1" w:themeFillShade="D9"/>
            <w:vAlign w:val="center"/>
          </w:tcPr>
          <w:p w:rsidR="008E3566" w:rsidRPr="008E3566" w:rsidRDefault="008E3566" w:rsidP="00DE61FB">
            <w:pPr>
              <w:jc w:val="center"/>
              <w:rPr>
                <w:rFonts w:ascii="Arial" w:hAnsi="Arial" w:cs="Arial"/>
                <w:i/>
                <w:sz w:val="21"/>
                <w:szCs w:val="21"/>
              </w:rPr>
            </w:pPr>
            <w:r w:rsidRPr="008E3566">
              <w:rPr>
                <w:rFonts w:ascii="Arial" w:hAnsi="Arial" w:cs="Arial"/>
                <w:i/>
                <w:sz w:val="21"/>
                <w:szCs w:val="21"/>
              </w:rPr>
              <w:t>(4)</w:t>
            </w:r>
          </w:p>
          <w:p w:rsidR="008E3566" w:rsidRPr="008E3566" w:rsidRDefault="008E3566" w:rsidP="00DE61FB">
            <w:pPr>
              <w:jc w:val="center"/>
              <w:rPr>
                <w:rFonts w:ascii="Arial" w:hAnsi="Arial" w:cs="Arial"/>
                <w:i/>
                <w:sz w:val="21"/>
                <w:szCs w:val="21"/>
              </w:rPr>
            </w:pPr>
            <w:r w:rsidRPr="008E3566">
              <w:rPr>
                <w:rFonts w:ascii="Arial" w:hAnsi="Arial" w:cs="Arial"/>
                <w:i/>
                <w:sz w:val="21"/>
                <w:szCs w:val="21"/>
              </w:rPr>
              <w:t xml:space="preserve"> Literacy &amp; Numeracy </w:t>
            </w:r>
          </w:p>
        </w:tc>
        <w:tc>
          <w:tcPr>
            <w:tcW w:w="8132" w:type="dxa"/>
            <w:vAlign w:val="center"/>
          </w:tcPr>
          <w:p w:rsidR="008E3566" w:rsidRPr="00FF7EB0" w:rsidRDefault="008E3566" w:rsidP="00DE61FB">
            <w:pPr>
              <w:spacing w:before="120" w:after="120"/>
              <w:jc w:val="center"/>
              <w:rPr>
                <w:rFonts w:ascii="Arial" w:hAnsi="Arial" w:cs="Arial"/>
              </w:rPr>
            </w:pPr>
            <w:r w:rsidRPr="00FF7EB0">
              <w:rPr>
                <w:rFonts w:ascii="Arial" w:hAnsi="Arial" w:cs="Arial"/>
              </w:rPr>
              <w:t>ACT English ≥ 18; ACT Math score ≥ 19; or other measures in AA 2.18</w:t>
            </w:r>
          </w:p>
          <w:p w:rsidR="008E3566" w:rsidRPr="008E3566" w:rsidRDefault="008E3566" w:rsidP="00DE61FB">
            <w:pPr>
              <w:jc w:val="center"/>
              <w:rPr>
                <w:rFonts w:ascii="Arial" w:hAnsi="Arial" w:cs="Arial"/>
                <w:sz w:val="20"/>
              </w:rPr>
            </w:pPr>
            <w:r w:rsidRPr="008E3566">
              <w:rPr>
                <w:rFonts w:ascii="Arial" w:hAnsi="Arial" w:cs="Arial"/>
                <w:sz w:val="20"/>
              </w:rPr>
              <w:t xml:space="preserve">[Developmental courses needed, per </w:t>
            </w:r>
            <w:proofErr w:type="spellStart"/>
            <w:r w:rsidRPr="008E3566">
              <w:rPr>
                <w:rFonts w:ascii="Arial" w:hAnsi="Arial" w:cs="Arial"/>
                <w:sz w:val="20"/>
              </w:rPr>
              <w:t>BoR</w:t>
            </w:r>
            <w:proofErr w:type="spellEnd"/>
            <w:r w:rsidRPr="008E3566">
              <w:rPr>
                <w:rFonts w:ascii="Arial" w:hAnsi="Arial" w:cs="Arial"/>
                <w:sz w:val="20"/>
              </w:rPr>
              <w:t xml:space="preserve"> AA 2.18: </w:t>
            </w:r>
          </w:p>
          <w:p w:rsidR="008E3566" w:rsidRPr="00580723" w:rsidRDefault="008E3566" w:rsidP="00DE61FB">
            <w:pPr>
              <w:jc w:val="center"/>
              <w:rPr>
                <w:rFonts w:ascii="Arial" w:hAnsi="Arial" w:cs="Arial"/>
                <w:highlight w:val="yellow"/>
              </w:rPr>
            </w:pPr>
            <w:r w:rsidRPr="008E3566">
              <w:rPr>
                <w:rFonts w:ascii="Arial" w:hAnsi="Arial" w:cs="Arial"/>
                <w:sz w:val="20"/>
              </w:rPr>
              <w:t>0 at Flagship or Statewide universities; ≤1 at Regional universities.]</w:t>
            </w:r>
          </w:p>
        </w:tc>
      </w:tr>
    </w:tbl>
    <w:p w:rsidR="008E3566" w:rsidRDefault="008E3566" w:rsidP="008E3566">
      <w:pPr>
        <w:ind w:left="360"/>
        <w:rPr>
          <w:rFonts w:ascii="Arial" w:hAnsi="Arial" w:cs="Arial"/>
          <w:sz w:val="17"/>
          <w:szCs w:val="17"/>
        </w:rPr>
      </w:pPr>
    </w:p>
    <w:p w:rsidR="008E3566" w:rsidRPr="0028782A" w:rsidRDefault="008E3566" w:rsidP="008E3566">
      <w:pPr>
        <w:ind w:left="360"/>
        <w:rPr>
          <w:rFonts w:ascii="Arial" w:hAnsi="Arial" w:cs="Arial"/>
          <w:sz w:val="18"/>
          <w:szCs w:val="17"/>
        </w:rPr>
      </w:pPr>
      <w:r w:rsidRPr="0028782A">
        <w:rPr>
          <w:rFonts w:ascii="Arial" w:hAnsi="Arial" w:cs="Arial"/>
          <w:sz w:val="18"/>
          <w:szCs w:val="17"/>
        </w:rPr>
        <w:t>*</w:t>
      </w:r>
      <w:r w:rsidRPr="0028782A">
        <w:rPr>
          <w:rFonts w:ascii="Arial" w:hAnsi="Arial" w:cs="Arial"/>
          <w:sz w:val="18"/>
          <w:szCs w:val="17"/>
        </w:rPr>
        <w:tab/>
      </w:r>
      <w:r w:rsidRPr="0028782A">
        <w:rPr>
          <w:rFonts w:ascii="Arial" w:hAnsi="Arial" w:cs="Arial"/>
          <w:sz w:val="18"/>
          <w:szCs w:val="17"/>
          <w:u w:val="single"/>
        </w:rPr>
        <w:t>Flagship</w:t>
      </w:r>
      <w:r w:rsidRPr="0028782A">
        <w:rPr>
          <w:rFonts w:ascii="Arial" w:hAnsi="Arial" w:cs="Arial"/>
          <w:sz w:val="18"/>
          <w:szCs w:val="17"/>
        </w:rPr>
        <w:t xml:space="preserve">: LSU.    </w:t>
      </w:r>
    </w:p>
    <w:p w:rsidR="008E3566" w:rsidRPr="0028782A" w:rsidRDefault="008E3566" w:rsidP="008E3566">
      <w:pPr>
        <w:ind w:left="360" w:firstLine="360"/>
        <w:rPr>
          <w:rFonts w:ascii="Arial" w:hAnsi="Arial" w:cs="Arial"/>
          <w:sz w:val="18"/>
          <w:szCs w:val="17"/>
        </w:rPr>
      </w:pPr>
      <w:r w:rsidRPr="0028782A">
        <w:rPr>
          <w:rFonts w:ascii="Arial" w:hAnsi="Arial" w:cs="Arial"/>
          <w:sz w:val="18"/>
          <w:szCs w:val="17"/>
          <w:u w:val="single"/>
        </w:rPr>
        <w:t>Statewide</w:t>
      </w:r>
      <w:r w:rsidRPr="0028782A">
        <w:rPr>
          <w:rFonts w:ascii="Arial" w:hAnsi="Arial" w:cs="Arial"/>
          <w:sz w:val="18"/>
          <w:szCs w:val="17"/>
        </w:rPr>
        <w:t xml:space="preserve">: LA Tech, ULL, </w:t>
      </w:r>
      <w:proofErr w:type="gramStart"/>
      <w:r w:rsidRPr="0028782A">
        <w:rPr>
          <w:rFonts w:ascii="Arial" w:hAnsi="Arial" w:cs="Arial"/>
          <w:sz w:val="18"/>
          <w:szCs w:val="17"/>
        </w:rPr>
        <w:t>UNO</w:t>
      </w:r>
      <w:proofErr w:type="gramEnd"/>
      <w:r w:rsidRPr="0028782A">
        <w:rPr>
          <w:rFonts w:ascii="Arial" w:hAnsi="Arial" w:cs="Arial"/>
          <w:sz w:val="18"/>
          <w:szCs w:val="17"/>
        </w:rPr>
        <w:t xml:space="preserve">.    </w:t>
      </w:r>
    </w:p>
    <w:p w:rsidR="008E3566" w:rsidRPr="0028782A" w:rsidRDefault="008E3566" w:rsidP="008E3566">
      <w:pPr>
        <w:spacing w:line="360" w:lineRule="auto"/>
        <w:ind w:left="389" w:firstLine="331"/>
        <w:rPr>
          <w:rFonts w:ascii="Arial" w:hAnsi="Arial" w:cs="Arial"/>
          <w:sz w:val="18"/>
          <w:szCs w:val="17"/>
        </w:rPr>
      </w:pPr>
      <w:r w:rsidRPr="0028782A">
        <w:rPr>
          <w:rFonts w:ascii="Arial" w:hAnsi="Arial" w:cs="Arial"/>
          <w:sz w:val="18"/>
          <w:szCs w:val="17"/>
          <w:u w:val="single"/>
        </w:rPr>
        <w:t>Regional</w:t>
      </w:r>
      <w:r w:rsidRPr="0028782A">
        <w:rPr>
          <w:rFonts w:ascii="Arial" w:hAnsi="Arial" w:cs="Arial"/>
          <w:sz w:val="18"/>
          <w:szCs w:val="17"/>
        </w:rPr>
        <w:t>: Grambling, LSUA, LSUS, McNeese, Nicholls, NSU, SLU, SUBR, SUNO, ULM.</w:t>
      </w:r>
    </w:p>
    <w:p w:rsidR="002F0977" w:rsidRDefault="00D966E7" w:rsidP="00091664">
      <w:pPr>
        <w:spacing w:after="100" w:afterAutospacing="1" w:line="360" w:lineRule="auto"/>
        <w:rPr>
          <w:rFonts w:eastAsia="Times New Roman"/>
          <w:lang w:eastAsia="en-US"/>
        </w:rPr>
      </w:pPr>
      <w:r w:rsidRPr="00D966E7">
        <w:rPr>
          <w:rFonts w:eastAsia="Times New Roman"/>
          <w:lang w:eastAsia="en-US"/>
        </w:rPr>
        <w:lastRenderedPageBreak/>
        <w:t>Regents’</w:t>
      </w:r>
      <w:r>
        <w:rPr>
          <w:rFonts w:eastAsia="Times New Roman"/>
          <w:lang w:eastAsia="en-US"/>
        </w:rPr>
        <w:t xml:space="preserve"> s</w:t>
      </w:r>
      <w:r w:rsidRPr="00D966E7">
        <w:rPr>
          <w:rFonts w:eastAsia="Times New Roman"/>
          <w:lang w:eastAsia="en-US"/>
        </w:rPr>
        <w:t xml:space="preserve">taff determined that </w:t>
      </w:r>
      <w:r>
        <w:rPr>
          <w:rFonts w:eastAsia="Times New Roman"/>
          <w:lang w:eastAsia="en-US"/>
        </w:rPr>
        <w:t xml:space="preserve">the initial step </w:t>
      </w:r>
      <w:r w:rsidR="00AA3062">
        <w:rPr>
          <w:rFonts w:eastAsia="Times New Roman"/>
          <w:lang w:eastAsia="en-US"/>
        </w:rPr>
        <w:t xml:space="preserve">necessary </w:t>
      </w:r>
      <w:r>
        <w:rPr>
          <w:rFonts w:eastAsia="Times New Roman"/>
          <w:lang w:eastAsia="en-US"/>
        </w:rPr>
        <w:t xml:space="preserve">in addressing the classification and admission </w:t>
      </w:r>
      <w:r w:rsidR="00B428F7">
        <w:rPr>
          <w:rFonts w:eastAsia="Times New Roman"/>
          <w:lang w:eastAsia="en-US"/>
        </w:rPr>
        <w:t>statuses at UNO and SUNO</w:t>
      </w:r>
      <w:r>
        <w:rPr>
          <w:rFonts w:eastAsia="Times New Roman"/>
          <w:lang w:eastAsia="en-US"/>
        </w:rPr>
        <w:t xml:space="preserve"> addressed in HCR 89 was to gain a </w:t>
      </w:r>
      <w:r w:rsidR="00AA3062">
        <w:rPr>
          <w:rFonts w:eastAsia="Times New Roman"/>
          <w:lang w:eastAsia="en-US"/>
        </w:rPr>
        <w:t xml:space="preserve">clearer </w:t>
      </w:r>
      <w:r>
        <w:rPr>
          <w:rFonts w:eastAsia="Times New Roman"/>
          <w:lang w:eastAsia="en-US"/>
        </w:rPr>
        <w:t>understanding of the local issues at the campus</w:t>
      </w:r>
      <w:r w:rsidR="001C3952">
        <w:rPr>
          <w:rFonts w:eastAsia="Times New Roman"/>
          <w:lang w:eastAsia="en-US"/>
        </w:rPr>
        <w:t xml:space="preserve"> level</w:t>
      </w:r>
      <w:r>
        <w:rPr>
          <w:rFonts w:eastAsia="Times New Roman"/>
          <w:lang w:eastAsia="en-US"/>
        </w:rPr>
        <w:t xml:space="preserve">.  Since any consideration of changes to classification or admission would begin at UNO (with </w:t>
      </w:r>
      <w:r w:rsidR="001C3952">
        <w:rPr>
          <w:rFonts w:eastAsia="Times New Roman"/>
          <w:lang w:eastAsia="en-US"/>
        </w:rPr>
        <w:t xml:space="preserve">potential </w:t>
      </w:r>
      <w:r>
        <w:rPr>
          <w:rFonts w:eastAsia="Times New Roman"/>
          <w:lang w:eastAsia="en-US"/>
        </w:rPr>
        <w:t xml:space="preserve">subsequent impacts on SUNO), the initial visit would appropriately be with the President and staff at UNO.  </w:t>
      </w:r>
    </w:p>
    <w:p w:rsidR="002F0977" w:rsidRPr="00362766" w:rsidRDefault="00B428F7" w:rsidP="00DF41F9">
      <w:pPr>
        <w:spacing w:after="100" w:afterAutospacing="1" w:line="360" w:lineRule="auto"/>
        <w:contextualSpacing/>
        <w:rPr>
          <w:rFonts w:eastAsiaTheme="minorHAnsi"/>
          <w:sz w:val="22"/>
          <w:szCs w:val="22"/>
          <w:lang w:eastAsia="en-US"/>
        </w:rPr>
      </w:pPr>
      <w:r w:rsidRPr="00362766">
        <w:rPr>
          <w:rFonts w:eastAsia="Times New Roman"/>
          <w:lang w:eastAsia="en-US"/>
        </w:rPr>
        <w:t xml:space="preserve">In late summer 2017, Regents’ staff traveled to UNO to visit with its President and select staff.  During that meeting, those present discussed at length and examined data regarding those individuals who had sought admission for the </w:t>
      </w:r>
      <w:proofErr w:type="gramStart"/>
      <w:r w:rsidRPr="00362766">
        <w:rPr>
          <w:rFonts w:eastAsia="Times New Roman"/>
          <w:lang w:eastAsia="en-US"/>
        </w:rPr>
        <w:t>Fall</w:t>
      </w:r>
      <w:proofErr w:type="gramEnd"/>
      <w:r w:rsidRPr="00362766">
        <w:rPr>
          <w:rFonts w:eastAsia="Times New Roman"/>
          <w:lang w:eastAsia="en-US"/>
        </w:rPr>
        <w:t xml:space="preserve"> 2017 but were deemed inadmissible.  </w:t>
      </w:r>
      <w:r w:rsidR="00DF41F9" w:rsidRPr="00362766">
        <w:rPr>
          <w:rFonts w:eastAsia="Times New Roman"/>
          <w:lang w:eastAsia="en-US"/>
        </w:rPr>
        <w:t>At Regents staff’s</w:t>
      </w:r>
      <w:r w:rsidRPr="00362766">
        <w:rPr>
          <w:rFonts w:eastAsia="Times New Roman"/>
          <w:lang w:eastAsia="en-US"/>
        </w:rPr>
        <w:t xml:space="preserve"> </w:t>
      </w:r>
      <w:r w:rsidR="002F0977" w:rsidRPr="00362766">
        <w:t xml:space="preserve">request, UNO undertook a comprehensive examination </w:t>
      </w:r>
      <w:r w:rsidR="00DF41F9" w:rsidRPr="00362766">
        <w:t xml:space="preserve">to determine exactly </w:t>
      </w:r>
      <w:r w:rsidR="002F0977" w:rsidRPr="00362766">
        <w:t>what factor</w:t>
      </w:r>
      <w:r w:rsidR="00DF41F9" w:rsidRPr="00362766">
        <w:t>(</w:t>
      </w:r>
      <w:r w:rsidR="002F0977" w:rsidRPr="00362766">
        <w:t>s</w:t>
      </w:r>
      <w:r w:rsidR="00DF41F9" w:rsidRPr="00362766">
        <w:t>)</w:t>
      </w:r>
      <w:r w:rsidR="002F0977" w:rsidRPr="00362766">
        <w:t xml:space="preserve"> inhibited potential students from being admitted to UNO.  The review concluded that rather than the regular </w:t>
      </w:r>
      <w:r w:rsidR="00DF41F9" w:rsidRPr="00362766">
        <w:t xml:space="preserve">minimum </w:t>
      </w:r>
      <w:r w:rsidR="002F0977" w:rsidRPr="00362766">
        <w:t xml:space="preserve">admissions standards (high school core, G.P.A., ACT score) preventing admissions to UNO, it was the Regents’ literacy and numeracy placement requirements that were </w:t>
      </w:r>
      <w:r w:rsidR="00573F1A">
        <w:t>delineating</w:t>
      </w:r>
      <w:r w:rsidR="002F0977" w:rsidRPr="00362766">
        <w:t xml:space="preserve"> most of those denied admissions.</w:t>
      </w:r>
      <w:r w:rsidR="00362766" w:rsidRPr="00362766">
        <w:t xml:space="preserve">  </w:t>
      </w:r>
      <w:r w:rsidR="00573F1A">
        <w:t xml:space="preserve">Later on in the fall, </w:t>
      </w:r>
      <w:r w:rsidR="00362766" w:rsidRPr="00362766">
        <w:t xml:space="preserve">UNO submitted data to support </w:t>
      </w:r>
      <w:r w:rsidR="00573F1A">
        <w:t xml:space="preserve">its recommendation </w:t>
      </w:r>
      <w:r w:rsidR="00362766" w:rsidRPr="00362766">
        <w:t xml:space="preserve">to amend the Placement policy thresholds for UNO on a pilot basis with subsequent accountability follow up to determine if students admitted under the pilot were indeed succeeding.  </w:t>
      </w:r>
    </w:p>
    <w:p w:rsidR="002F0977" w:rsidRPr="00362766" w:rsidRDefault="002F0977" w:rsidP="002F0977"/>
    <w:p w:rsidR="00493574" w:rsidRDefault="009C2329" w:rsidP="00091664">
      <w:pPr>
        <w:spacing w:line="360" w:lineRule="auto"/>
      </w:pPr>
      <w:r>
        <w:t xml:space="preserve">A related initiative of the Regents’ staff </w:t>
      </w:r>
      <w:r w:rsidR="00A66B1D" w:rsidRPr="00362766">
        <w:t>that could directly impact UNO’s ability to admit students who showed promise of succeeding but didn’t meet the placement thresholds</w:t>
      </w:r>
      <w:r w:rsidR="005863AD">
        <w:t xml:space="preserve"> was</w:t>
      </w:r>
      <w:r w:rsidR="002F0977" w:rsidRPr="00362766">
        <w:t xml:space="preserve"> the development of a dual enrollment policy and a related review of its </w:t>
      </w:r>
      <w:r w:rsidR="00A66B1D" w:rsidRPr="00362766">
        <w:t xml:space="preserve">existing </w:t>
      </w:r>
      <w:r w:rsidR="002F0977" w:rsidRPr="00362766">
        <w:t>placement policy</w:t>
      </w:r>
      <w:r w:rsidR="005863AD">
        <w:t xml:space="preserve"> </w:t>
      </w:r>
      <w:r w:rsidR="005863AD" w:rsidRPr="00362766">
        <w:t>during the fall of 2017</w:t>
      </w:r>
      <w:r w:rsidR="002F0977" w:rsidRPr="00362766">
        <w:t xml:space="preserve">.  </w:t>
      </w:r>
      <w:r w:rsidR="00A66B1D" w:rsidRPr="00362766">
        <w:t xml:space="preserve">Following a few months of </w:t>
      </w:r>
      <w:r w:rsidR="00362766">
        <w:t xml:space="preserve">development and </w:t>
      </w:r>
      <w:r w:rsidR="00A66B1D" w:rsidRPr="00362766">
        <w:t xml:space="preserve">review by staff and gaining input from the College and Career </w:t>
      </w:r>
      <w:r w:rsidR="00362766" w:rsidRPr="00362766">
        <w:t xml:space="preserve">Readiness </w:t>
      </w:r>
      <w:r w:rsidR="00A66B1D" w:rsidRPr="00362766">
        <w:t>Commission</w:t>
      </w:r>
      <w:r w:rsidR="00362766" w:rsidRPr="00362766">
        <w:t xml:space="preserve">, at </w:t>
      </w:r>
      <w:r w:rsidR="002F0977" w:rsidRPr="00362766">
        <w:t xml:space="preserve">its meeting </w:t>
      </w:r>
      <w:r w:rsidR="00362766" w:rsidRPr="00362766">
        <w:t>on December 11, 2017</w:t>
      </w:r>
      <w:r w:rsidR="002F0977" w:rsidRPr="00362766">
        <w:t xml:space="preserve">, the Board of Regents adopted a </w:t>
      </w:r>
      <w:r w:rsidR="00074862">
        <w:t xml:space="preserve">pilot </w:t>
      </w:r>
      <w:r w:rsidR="002F0977" w:rsidRPr="00362766">
        <w:t>revis</w:t>
      </w:r>
      <w:r w:rsidR="00074862">
        <w:t xml:space="preserve">ion to its </w:t>
      </w:r>
      <w:r w:rsidR="002F0977" w:rsidRPr="00362766">
        <w:t>Placement policy</w:t>
      </w:r>
      <w:r w:rsidR="00362766">
        <w:t xml:space="preserve"> (Attached)</w:t>
      </w:r>
      <w:r w:rsidR="002F0977" w:rsidRPr="00362766">
        <w:t>.  Although the</w:t>
      </w:r>
      <w:r w:rsidR="00074862">
        <w:t xml:space="preserve"> pilot</w:t>
      </w:r>
      <w:r w:rsidR="002F0977" w:rsidRPr="00362766">
        <w:t xml:space="preserve"> revisions were not designed specifically to address UNO’s concerns, the</w:t>
      </w:r>
      <w:r w:rsidR="00074862">
        <w:t>y do</w:t>
      </w:r>
      <w:r w:rsidR="002F0977" w:rsidRPr="00362766">
        <w:t xml:space="preserve"> provide campuses with additional flexibility in admissions with attending accountability </w:t>
      </w:r>
      <w:r w:rsidR="00573F1A">
        <w:t xml:space="preserve">that requires </w:t>
      </w:r>
      <w:r w:rsidR="002F0977" w:rsidRPr="00362766">
        <w:t>provid</w:t>
      </w:r>
      <w:r w:rsidR="00573F1A">
        <w:t>ing</w:t>
      </w:r>
      <w:r w:rsidR="002F0977" w:rsidRPr="00362766">
        <w:t xml:space="preserve"> the necessary services so that the students can succeed. The </w:t>
      </w:r>
      <w:r w:rsidR="00362766">
        <w:t xml:space="preserve">flexibility for campuses in the </w:t>
      </w:r>
      <w:r w:rsidR="00074862">
        <w:t xml:space="preserve">pilot </w:t>
      </w:r>
      <w:r w:rsidR="002F0977" w:rsidRPr="00362766">
        <w:t>revis</w:t>
      </w:r>
      <w:r w:rsidR="00074862">
        <w:t xml:space="preserve">ion to the Placement </w:t>
      </w:r>
      <w:r w:rsidR="002F0977" w:rsidRPr="00362766">
        <w:t xml:space="preserve">policy </w:t>
      </w:r>
      <w:r w:rsidR="00362766">
        <w:t>exceeds th</w:t>
      </w:r>
      <w:r w:rsidR="003B097C">
        <w:t xml:space="preserve">at requested by UNO in its </w:t>
      </w:r>
      <w:r w:rsidR="00573F1A">
        <w:t>recommendation submitted earlier</w:t>
      </w:r>
      <w:r w:rsidR="003B097C">
        <w:t>.</w:t>
      </w:r>
    </w:p>
    <w:p w:rsidR="000E16D0" w:rsidRDefault="000E16D0" w:rsidP="00091664">
      <w:pPr>
        <w:spacing w:line="360" w:lineRule="auto"/>
      </w:pPr>
    </w:p>
    <w:p w:rsidR="000E16D0" w:rsidRDefault="000E16D0" w:rsidP="00091664">
      <w:pPr>
        <w:spacing w:line="360" w:lineRule="auto"/>
      </w:pPr>
    </w:p>
    <w:p w:rsidR="000E16D0" w:rsidRDefault="000E16D0" w:rsidP="00091664">
      <w:pPr>
        <w:spacing w:line="360" w:lineRule="auto"/>
      </w:pPr>
    </w:p>
    <w:p w:rsidR="00493574" w:rsidRPr="00493574" w:rsidRDefault="00493574" w:rsidP="00362766">
      <w:pPr>
        <w:spacing w:line="480" w:lineRule="auto"/>
        <w:rPr>
          <w:b/>
        </w:rPr>
      </w:pPr>
      <w:r>
        <w:rPr>
          <w:b/>
        </w:rPr>
        <w:lastRenderedPageBreak/>
        <w:t>SUMMARY AND RECOMMENDATION</w:t>
      </w:r>
    </w:p>
    <w:p w:rsidR="00493574" w:rsidRPr="001C4948" w:rsidRDefault="00493574" w:rsidP="001C4948">
      <w:pPr>
        <w:pStyle w:val="ListParagraph"/>
        <w:spacing w:line="360" w:lineRule="auto"/>
        <w:ind w:left="0"/>
        <w:rPr>
          <w:rFonts w:ascii="Times New Roman" w:eastAsiaTheme="minorHAnsi" w:hAnsi="Times New Roman"/>
          <w:sz w:val="24"/>
          <w:szCs w:val="24"/>
        </w:rPr>
      </w:pPr>
      <w:r w:rsidRPr="009D3914">
        <w:rPr>
          <w:rFonts w:ascii="Times New Roman" w:hAnsi="Times New Roman"/>
          <w:sz w:val="24"/>
          <w:szCs w:val="24"/>
        </w:rPr>
        <w:t>House</w:t>
      </w:r>
      <w:r>
        <w:rPr>
          <w:rFonts w:ascii="Times New Roman" w:hAnsi="Times New Roman"/>
          <w:sz w:val="24"/>
          <w:szCs w:val="24"/>
        </w:rPr>
        <w:t xml:space="preserve"> Concurrent </w:t>
      </w:r>
      <w:r w:rsidRPr="009D3914">
        <w:rPr>
          <w:rFonts w:ascii="Times New Roman" w:hAnsi="Times New Roman"/>
          <w:sz w:val="24"/>
          <w:szCs w:val="24"/>
        </w:rPr>
        <w:t>Resolution 8</w:t>
      </w:r>
      <w:r>
        <w:rPr>
          <w:rFonts w:ascii="Times New Roman" w:hAnsi="Times New Roman"/>
          <w:sz w:val="24"/>
          <w:szCs w:val="24"/>
        </w:rPr>
        <w:t>9</w:t>
      </w:r>
      <w:r w:rsidRPr="009D3914">
        <w:rPr>
          <w:rFonts w:ascii="Times New Roman" w:hAnsi="Times New Roman"/>
          <w:sz w:val="24"/>
          <w:szCs w:val="24"/>
        </w:rPr>
        <w:t xml:space="preserve"> (H</w:t>
      </w:r>
      <w:r>
        <w:rPr>
          <w:rFonts w:ascii="Times New Roman" w:hAnsi="Times New Roman"/>
          <w:sz w:val="24"/>
          <w:szCs w:val="24"/>
        </w:rPr>
        <w:t>C</w:t>
      </w:r>
      <w:r w:rsidRPr="009D3914">
        <w:rPr>
          <w:rFonts w:ascii="Times New Roman" w:hAnsi="Times New Roman"/>
          <w:sz w:val="24"/>
          <w:szCs w:val="24"/>
        </w:rPr>
        <w:t>R 8</w:t>
      </w:r>
      <w:r>
        <w:rPr>
          <w:rFonts w:ascii="Times New Roman" w:hAnsi="Times New Roman"/>
          <w:sz w:val="24"/>
          <w:szCs w:val="24"/>
        </w:rPr>
        <w:t>9</w:t>
      </w:r>
      <w:r w:rsidRPr="009D3914">
        <w:rPr>
          <w:rFonts w:ascii="Times New Roman" w:hAnsi="Times New Roman"/>
          <w:sz w:val="24"/>
          <w:szCs w:val="24"/>
        </w:rPr>
        <w:t>) of the 201</w:t>
      </w:r>
      <w:r>
        <w:rPr>
          <w:rFonts w:ascii="Times New Roman" w:hAnsi="Times New Roman"/>
          <w:sz w:val="24"/>
          <w:szCs w:val="24"/>
        </w:rPr>
        <w:t>7</w:t>
      </w:r>
      <w:r w:rsidRPr="009D3914">
        <w:rPr>
          <w:rFonts w:ascii="Times New Roman" w:hAnsi="Times New Roman"/>
          <w:sz w:val="24"/>
          <w:szCs w:val="24"/>
        </w:rPr>
        <w:t xml:space="preserve"> Regular Session requested the Board of Regents to </w:t>
      </w:r>
      <w:r>
        <w:rPr>
          <w:rFonts w:ascii="Times New Roman" w:hAnsi="Times New Roman"/>
          <w:sz w:val="24"/>
          <w:szCs w:val="24"/>
        </w:rPr>
        <w:t>s</w:t>
      </w:r>
      <w:r w:rsidRPr="009D3914">
        <w:rPr>
          <w:rFonts w:ascii="Times New Roman" w:hAnsi="Times New Roman"/>
          <w:sz w:val="24"/>
          <w:szCs w:val="24"/>
        </w:rPr>
        <w:t xml:space="preserve">tudy </w:t>
      </w:r>
      <w:r w:rsidR="001C4948">
        <w:rPr>
          <w:rFonts w:ascii="Times New Roman" w:hAnsi="Times New Roman"/>
          <w:sz w:val="24"/>
          <w:szCs w:val="24"/>
        </w:rPr>
        <w:t>t</w:t>
      </w:r>
      <w:r w:rsidRPr="009D3914">
        <w:rPr>
          <w:rFonts w:ascii="Times New Roman" w:hAnsi="Times New Roman"/>
          <w:sz w:val="24"/>
          <w:szCs w:val="24"/>
        </w:rPr>
        <w:t xml:space="preserve">he </w:t>
      </w:r>
      <w:r>
        <w:rPr>
          <w:rFonts w:ascii="Times New Roman" w:hAnsi="Times New Roman"/>
          <w:sz w:val="24"/>
          <w:szCs w:val="24"/>
        </w:rPr>
        <w:t xml:space="preserve">possibility of revising the classification and admission standards of </w:t>
      </w:r>
      <w:r w:rsidR="001C4948">
        <w:rPr>
          <w:rFonts w:ascii="Times New Roman" w:hAnsi="Times New Roman"/>
          <w:sz w:val="24"/>
          <w:szCs w:val="24"/>
        </w:rPr>
        <w:t xml:space="preserve">UNO and SUNO </w:t>
      </w:r>
      <w:r>
        <w:rPr>
          <w:rFonts w:ascii="Times New Roman" w:hAnsi="Times New Roman"/>
          <w:sz w:val="24"/>
          <w:szCs w:val="24"/>
        </w:rPr>
        <w:t xml:space="preserve">and submit a report of their findings and recommendations to the </w:t>
      </w:r>
      <w:r w:rsidR="001C4948">
        <w:rPr>
          <w:rFonts w:ascii="Times New Roman" w:hAnsi="Times New Roman"/>
          <w:sz w:val="24"/>
          <w:szCs w:val="24"/>
        </w:rPr>
        <w:t>legislative C</w:t>
      </w:r>
      <w:r>
        <w:rPr>
          <w:rFonts w:ascii="Times New Roman" w:hAnsi="Times New Roman"/>
          <w:sz w:val="24"/>
          <w:szCs w:val="24"/>
        </w:rPr>
        <w:t>ommittee</w:t>
      </w:r>
      <w:r w:rsidR="001C4948">
        <w:rPr>
          <w:rFonts w:ascii="Times New Roman" w:hAnsi="Times New Roman"/>
          <w:sz w:val="24"/>
          <w:szCs w:val="24"/>
        </w:rPr>
        <w:t>s</w:t>
      </w:r>
      <w:r>
        <w:rPr>
          <w:rFonts w:ascii="Times New Roman" w:hAnsi="Times New Roman"/>
          <w:sz w:val="24"/>
          <w:szCs w:val="24"/>
        </w:rPr>
        <w:t xml:space="preserve"> on Education.</w:t>
      </w:r>
      <w:r w:rsidR="001C4948">
        <w:rPr>
          <w:rFonts w:ascii="Times New Roman" w:hAnsi="Times New Roman"/>
          <w:sz w:val="24"/>
          <w:szCs w:val="24"/>
        </w:rPr>
        <w:t xml:space="preserve"> </w:t>
      </w:r>
      <w:r w:rsidR="001C4948" w:rsidRPr="001C4948">
        <w:rPr>
          <w:rFonts w:ascii="Times New Roman" w:hAnsi="Times New Roman"/>
          <w:sz w:val="24"/>
          <w:szCs w:val="24"/>
        </w:rPr>
        <w:t>Regent</w:t>
      </w:r>
      <w:r w:rsidRPr="001C4948">
        <w:rPr>
          <w:rFonts w:ascii="Times New Roman" w:hAnsi="Times New Roman"/>
          <w:sz w:val="24"/>
          <w:szCs w:val="24"/>
        </w:rPr>
        <w:t>s’ staff traveled to UNO</w:t>
      </w:r>
      <w:r w:rsidR="001C4948">
        <w:rPr>
          <w:rFonts w:ascii="Times New Roman" w:hAnsi="Times New Roman"/>
          <w:sz w:val="24"/>
          <w:szCs w:val="24"/>
        </w:rPr>
        <w:t xml:space="preserve"> in late summer to</w:t>
      </w:r>
      <w:r w:rsidRPr="001C4948">
        <w:rPr>
          <w:rFonts w:ascii="Times New Roman" w:hAnsi="Times New Roman"/>
          <w:sz w:val="24"/>
          <w:szCs w:val="24"/>
        </w:rPr>
        <w:t xml:space="preserve"> discuss data regarding those individuals who had sought admission for the </w:t>
      </w:r>
      <w:r w:rsidR="00074862">
        <w:rPr>
          <w:rFonts w:ascii="Times New Roman" w:hAnsi="Times New Roman"/>
          <w:sz w:val="24"/>
          <w:szCs w:val="24"/>
        </w:rPr>
        <w:t>f</w:t>
      </w:r>
      <w:r w:rsidRPr="001C4948">
        <w:rPr>
          <w:rFonts w:ascii="Times New Roman" w:hAnsi="Times New Roman"/>
          <w:sz w:val="24"/>
          <w:szCs w:val="24"/>
        </w:rPr>
        <w:t xml:space="preserve">all 2017 but were deemed inadmissible.  </w:t>
      </w:r>
      <w:r w:rsidR="001C4948">
        <w:rPr>
          <w:rFonts w:ascii="Times New Roman" w:hAnsi="Times New Roman"/>
          <w:sz w:val="24"/>
          <w:szCs w:val="24"/>
        </w:rPr>
        <w:t>A review</w:t>
      </w:r>
      <w:r w:rsidRPr="001C4948">
        <w:rPr>
          <w:rFonts w:ascii="Times New Roman" w:hAnsi="Times New Roman"/>
          <w:sz w:val="24"/>
          <w:szCs w:val="24"/>
        </w:rPr>
        <w:t xml:space="preserve"> concluded that rather than the regular minimum admissions standards preventing admissions to UNO, it was the Regents’ literacy and numeracy placement requirements that were eliminating most of those denied admissions.  UNO submitted data to support a re</w:t>
      </w:r>
      <w:r w:rsidR="00573F1A">
        <w:rPr>
          <w:rFonts w:ascii="Times New Roman" w:hAnsi="Times New Roman"/>
          <w:sz w:val="24"/>
          <w:szCs w:val="24"/>
        </w:rPr>
        <w:t xml:space="preserve">commendation </w:t>
      </w:r>
      <w:r w:rsidRPr="001C4948">
        <w:rPr>
          <w:rFonts w:ascii="Times New Roman" w:hAnsi="Times New Roman"/>
          <w:sz w:val="24"/>
          <w:szCs w:val="24"/>
        </w:rPr>
        <w:t xml:space="preserve">to amend the Placement policy thresholds for UNO on a pilot basis with subsequent accountability follow up to determine if students admitted under the pilot were indeed succeeding.  </w:t>
      </w:r>
    </w:p>
    <w:p w:rsidR="00493574" w:rsidRPr="001C4948" w:rsidRDefault="001C4948" w:rsidP="00091664">
      <w:pPr>
        <w:spacing w:after="200" w:line="360" w:lineRule="auto"/>
      </w:pPr>
      <w:r>
        <w:t>During the fall 2017,</w:t>
      </w:r>
      <w:r w:rsidR="00493574" w:rsidRPr="001C4948">
        <w:t xml:space="preserve"> Regents’ staff were undertaking </w:t>
      </w:r>
      <w:r>
        <w:t>a</w:t>
      </w:r>
      <w:r w:rsidR="00493574" w:rsidRPr="001C4948">
        <w:t xml:space="preserve"> review of its existing placement policy.  </w:t>
      </w:r>
      <w:r>
        <w:t>In</w:t>
      </w:r>
      <w:r w:rsidR="00493574" w:rsidRPr="001C4948">
        <w:t xml:space="preserve"> December, the Board of Regents adopted a </w:t>
      </w:r>
      <w:r w:rsidR="00074862">
        <w:t xml:space="preserve">pilot </w:t>
      </w:r>
      <w:r w:rsidR="00493574" w:rsidRPr="001C4948">
        <w:t>revis</w:t>
      </w:r>
      <w:r w:rsidR="00074862">
        <w:t xml:space="preserve">ion to its </w:t>
      </w:r>
      <w:r w:rsidR="00493574" w:rsidRPr="001C4948">
        <w:t xml:space="preserve">Placement policy.  </w:t>
      </w:r>
      <w:r>
        <w:t>T</w:t>
      </w:r>
      <w:r w:rsidR="00493574" w:rsidRPr="001C4948">
        <w:t>he revised policy provide</w:t>
      </w:r>
      <w:r>
        <w:t>s</w:t>
      </w:r>
      <w:r w:rsidR="00493574" w:rsidRPr="001C4948">
        <w:t xml:space="preserve"> campuses with additional flexibility in admissions with attending accountability </w:t>
      </w:r>
      <w:r w:rsidR="00573F1A">
        <w:t xml:space="preserve">that required </w:t>
      </w:r>
      <w:r w:rsidR="00493574" w:rsidRPr="001C4948">
        <w:t>provid</w:t>
      </w:r>
      <w:r w:rsidR="00573F1A">
        <w:t>ing</w:t>
      </w:r>
      <w:r w:rsidR="00493574" w:rsidRPr="001C4948">
        <w:t xml:space="preserve"> the necessary services so that the students can succeed. The flexibility for campuses in the </w:t>
      </w:r>
      <w:r w:rsidR="00074862">
        <w:t xml:space="preserve">pilot </w:t>
      </w:r>
      <w:r w:rsidR="00493574" w:rsidRPr="001C4948">
        <w:t>revis</w:t>
      </w:r>
      <w:r w:rsidR="00074862">
        <w:t xml:space="preserve">ion to its Placement </w:t>
      </w:r>
      <w:r w:rsidR="00493574" w:rsidRPr="001C4948">
        <w:t>policy exceeds that re</w:t>
      </w:r>
      <w:r w:rsidR="00573F1A">
        <w:t xml:space="preserve">commended </w:t>
      </w:r>
      <w:r w:rsidR="00493574" w:rsidRPr="001C4948">
        <w:t xml:space="preserve">by UNO in its </w:t>
      </w:r>
      <w:r w:rsidR="00573F1A">
        <w:t>earlier</w:t>
      </w:r>
      <w:r w:rsidR="00493574" w:rsidRPr="001C4948">
        <w:t xml:space="preserve"> submission. </w:t>
      </w:r>
    </w:p>
    <w:p w:rsidR="00BA2FAF" w:rsidRDefault="001C4948" w:rsidP="00091664">
      <w:pPr>
        <w:spacing w:after="100" w:afterAutospacing="1" w:line="360" w:lineRule="auto"/>
        <w:contextualSpacing/>
        <w:rPr>
          <w:rFonts w:eastAsia="Times New Roman"/>
          <w:lang w:eastAsia="en-US"/>
        </w:rPr>
        <w:sectPr w:rsidR="00BA2FAF" w:rsidSect="00C32BD9">
          <w:footerReference w:type="default" r:id="rId10"/>
          <w:headerReference w:type="first" r:id="rId11"/>
          <w:pgSz w:w="12240" w:h="15840"/>
          <w:pgMar w:top="1440" w:right="1440" w:bottom="1260" w:left="1440" w:header="720" w:footer="525" w:gutter="0"/>
          <w:pgNumType w:start="1"/>
          <w:cols w:space="720"/>
          <w:titlePg/>
          <w:docGrid w:linePitch="360"/>
        </w:sectPr>
      </w:pPr>
      <w:r w:rsidRPr="001C4948">
        <w:rPr>
          <w:rFonts w:eastAsia="Times New Roman"/>
          <w:lang w:eastAsia="en-US"/>
        </w:rPr>
        <w:t xml:space="preserve">The Board of </w:t>
      </w:r>
      <w:r>
        <w:rPr>
          <w:rFonts w:eastAsia="Times New Roman"/>
          <w:lang w:eastAsia="en-US"/>
        </w:rPr>
        <w:t>R</w:t>
      </w:r>
      <w:r w:rsidRPr="001C4948">
        <w:rPr>
          <w:rFonts w:eastAsia="Times New Roman"/>
          <w:lang w:eastAsia="en-US"/>
        </w:rPr>
        <w:t xml:space="preserve">egents recommends that </w:t>
      </w:r>
      <w:r>
        <w:rPr>
          <w:rFonts w:eastAsia="Times New Roman"/>
          <w:lang w:eastAsia="en-US"/>
        </w:rPr>
        <w:t xml:space="preserve">no further changes be made to its minimum admissions requirements at this time.  Both UNO and SUNO </w:t>
      </w:r>
      <w:r w:rsidR="00074862">
        <w:rPr>
          <w:rFonts w:eastAsia="Times New Roman"/>
          <w:lang w:eastAsia="en-US"/>
        </w:rPr>
        <w:t>should participate in the pilot revision to the Regents’ Placement policy and provide the necessary support services for success for those students admitted and placed under the pilot.</w:t>
      </w:r>
    </w:p>
    <w:p w:rsidR="00BA2FAF" w:rsidRDefault="00BA2FAF" w:rsidP="00BA2FAF">
      <w:pPr>
        <w:shd w:val="clear" w:color="auto" w:fill="FFFFFF"/>
        <w:spacing w:line="264" w:lineRule="auto"/>
        <w:jc w:val="center"/>
        <w:rPr>
          <w:rFonts w:ascii="Arial" w:eastAsia="Times New Roman" w:hAnsi="Arial" w:cs="Arial"/>
          <w:b/>
          <w:caps/>
          <w:spacing w:val="12"/>
          <w:sz w:val="28"/>
          <w:szCs w:val="20"/>
        </w:rPr>
      </w:pPr>
    </w:p>
    <w:p w:rsidR="00BA2FAF" w:rsidRDefault="00BA2FAF" w:rsidP="00BA2FAF">
      <w:pPr>
        <w:shd w:val="clear" w:color="auto" w:fill="FFFFFF"/>
        <w:spacing w:line="264" w:lineRule="auto"/>
        <w:jc w:val="center"/>
        <w:rPr>
          <w:rFonts w:ascii="Arial" w:eastAsia="Times New Roman" w:hAnsi="Arial" w:cs="Arial"/>
          <w:b/>
          <w:caps/>
          <w:spacing w:val="12"/>
          <w:szCs w:val="20"/>
        </w:rPr>
      </w:pPr>
      <w:r w:rsidRPr="008F4A7B">
        <w:rPr>
          <w:rFonts w:ascii="Arial" w:eastAsia="Times New Roman" w:hAnsi="Arial" w:cs="Arial"/>
          <w:b/>
          <w:caps/>
          <w:spacing w:val="12"/>
          <w:sz w:val="28"/>
          <w:szCs w:val="20"/>
        </w:rPr>
        <w:t>Academic Affairs Policy 2.18</w:t>
      </w:r>
      <w:r w:rsidRPr="00DC5584">
        <w:rPr>
          <w:rFonts w:ascii="Arial" w:eastAsia="Times New Roman" w:hAnsi="Arial" w:cs="Arial"/>
          <w:b/>
          <w:caps/>
          <w:spacing w:val="12"/>
          <w:sz w:val="20"/>
          <w:szCs w:val="20"/>
        </w:rPr>
        <w:br/>
      </w:r>
      <w:r w:rsidRPr="00EF300D">
        <w:rPr>
          <w:rFonts w:ascii="Arial" w:eastAsia="Times New Roman" w:hAnsi="Arial" w:cs="Arial"/>
          <w:b/>
          <w:spacing w:val="12"/>
          <w:szCs w:val="20"/>
        </w:rPr>
        <w:t xml:space="preserve">MINIMUM PLACEMENT REQUIREMENTS for Entry-Level, College-Level </w:t>
      </w:r>
    </w:p>
    <w:p w:rsidR="00BA2FAF" w:rsidRPr="00DC5584" w:rsidRDefault="00BA2FAF" w:rsidP="00BA2FAF">
      <w:pPr>
        <w:shd w:val="clear" w:color="auto" w:fill="FFFFFF"/>
        <w:spacing w:after="100" w:afterAutospacing="1" w:line="264" w:lineRule="auto"/>
        <w:jc w:val="center"/>
        <w:rPr>
          <w:rFonts w:ascii="Arial" w:eastAsia="Times New Roman" w:hAnsi="Arial" w:cs="Arial"/>
          <w:b/>
          <w:caps/>
          <w:spacing w:val="12"/>
          <w:sz w:val="20"/>
          <w:szCs w:val="20"/>
        </w:rPr>
      </w:pPr>
      <w:r w:rsidRPr="008F4A7B">
        <w:rPr>
          <w:rFonts w:ascii="Arial" w:eastAsia="Times New Roman" w:hAnsi="Arial" w:cs="Arial"/>
          <w:b/>
          <w:caps/>
          <w:spacing w:val="12"/>
          <w:szCs w:val="20"/>
        </w:rPr>
        <w:t xml:space="preserve">Mathematics </w:t>
      </w:r>
      <w:r w:rsidRPr="008F4A7B">
        <w:rPr>
          <w:rFonts w:ascii="Arial" w:eastAsia="Times New Roman" w:hAnsi="Arial" w:cs="Arial"/>
          <w:b/>
          <w:spacing w:val="12"/>
          <w:szCs w:val="20"/>
        </w:rPr>
        <w:t>and</w:t>
      </w:r>
      <w:r w:rsidRPr="008F4A7B">
        <w:rPr>
          <w:rFonts w:ascii="Arial" w:eastAsia="Times New Roman" w:hAnsi="Arial" w:cs="Arial"/>
          <w:b/>
          <w:caps/>
          <w:spacing w:val="12"/>
          <w:szCs w:val="20"/>
        </w:rPr>
        <w:t xml:space="preserve"> English</w:t>
      </w:r>
    </w:p>
    <w:p w:rsidR="00BA2FAF" w:rsidRPr="00DC5584" w:rsidRDefault="00BA2FAF" w:rsidP="00BA2FAF">
      <w:pPr>
        <w:shd w:val="clear" w:color="auto" w:fill="FFFFFF"/>
        <w:spacing w:after="60"/>
        <w:rPr>
          <w:rFonts w:ascii="Arial" w:eastAsia="Times New Roman" w:hAnsi="Arial" w:cs="Arial"/>
          <w:sz w:val="20"/>
          <w:szCs w:val="13"/>
        </w:rPr>
      </w:pPr>
      <w:r w:rsidRPr="00F267D4">
        <w:rPr>
          <w:rFonts w:ascii="Arial" w:eastAsia="Times New Roman" w:hAnsi="Arial" w:cs="Arial"/>
          <w:b/>
          <w:bCs/>
          <w:sz w:val="21"/>
          <w:szCs w:val="21"/>
        </w:rPr>
        <w:t>Purpose</w:t>
      </w:r>
      <w:r>
        <w:rPr>
          <w:rFonts w:ascii="Arial" w:eastAsia="Times New Roman" w:hAnsi="Arial" w:cs="Arial"/>
          <w:b/>
          <w:bCs/>
          <w:sz w:val="20"/>
        </w:rPr>
        <w:t xml:space="preserve">. </w:t>
      </w:r>
      <w:r w:rsidRPr="00DC5584">
        <w:rPr>
          <w:rFonts w:ascii="Arial" w:eastAsia="Times New Roman" w:hAnsi="Arial" w:cs="Arial"/>
          <w:sz w:val="20"/>
          <w:szCs w:val="13"/>
        </w:rPr>
        <w:t>This policy establish</w:t>
      </w:r>
      <w:r>
        <w:rPr>
          <w:rFonts w:ascii="Arial" w:eastAsia="Times New Roman" w:hAnsi="Arial" w:cs="Arial"/>
          <w:sz w:val="20"/>
          <w:szCs w:val="13"/>
        </w:rPr>
        <w:t>es</w:t>
      </w:r>
      <w:r w:rsidRPr="00DC5584">
        <w:rPr>
          <w:rFonts w:ascii="Arial" w:eastAsia="Times New Roman" w:hAnsi="Arial" w:cs="Arial"/>
          <w:sz w:val="20"/>
          <w:szCs w:val="13"/>
        </w:rPr>
        <w:t xml:space="preserve"> uniform </w:t>
      </w:r>
      <w:r>
        <w:rPr>
          <w:rFonts w:ascii="Arial" w:eastAsia="Times New Roman" w:hAnsi="Arial" w:cs="Arial"/>
          <w:sz w:val="20"/>
          <w:szCs w:val="13"/>
        </w:rPr>
        <w:t>guidelines</w:t>
      </w:r>
      <w:r w:rsidRPr="00DC5584">
        <w:rPr>
          <w:rFonts w:ascii="Arial" w:eastAsia="Times New Roman" w:hAnsi="Arial" w:cs="Arial"/>
          <w:sz w:val="20"/>
          <w:szCs w:val="13"/>
        </w:rPr>
        <w:t xml:space="preserve"> for the placement of students in entry-level, college-level courses in Mathematics and English</w:t>
      </w:r>
      <w:r>
        <w:rPr>
          <w:rFonts w:ascii="Arial" w:eastAsia="Times New Roman" w:hAnsi="Arial" w:cs="Arial"/>
          <w:sz w:val="20"/>
          <w:szCs w:val="13"/>
        </w:rPr>
        <w:t>. It is designed</w:t>
      </w:r>
      <w:r w:rsidRPr="00DC5584">
        <w:rPr>
          <w:rFonts w:ascii="Arial" w:eastAsia="Times New Roman" w:hAnsi="Arial" w:cs="Arial"/>
          <w:sz w:val="20"/>
          <w:szCs w:val="13"/>
        </w:rPr>
        <w:t xml:space="preserve"> to:</w:t>
      </w:r>
    </w:p>
    <w:p w:rsidR="00BA2FAF" w:rsidRDefault="00BA2FAF" w:rsidP="00BA2FAF">
      <w:pPr>
        <w:numPr>
          <w:ilvl w:val="1"/>
          <w:numId w:val="8"/>
        </w:numPr>
        <w:shd w:val="clear" w:color="auto" w:fill="FFFFFF"/>
        <w:tabs>
          <w:tab w:val="num" w:pos="720"/>
        </w:tabs>
        <w:spacing w:after="40"/>
        <w:ind w:left="720" w:hanging="274"/>
        <w:rPr>
          <w:rFonts w:ascii="Arial" w:eastAsia="Times New Roman" w:hAnsi="Arial" w:cs="Arial"/>
          <w:sz w:val="20"/>
          <w:szCs w:val="13"/>
        </w:rPr>
      </w:pPr>
      <w:r w:rsidRPr="00DC5584">
        <w:rPr>
          <w:rFonts w:ascii="Arial" w:eastAsia="Times New Roman" w:hAnsi="Arial" w:cs="Arial"/>
          <w:sz w:val="20"/>
          <w:szCs w:val="13"/>
        </w:rPr>
        <w:t xml:space="preserve">establish clear and consistent goals for the level of academic achievement expected of </w:t>
      </w:r>
      <w:r>
        <w:rPr>
          <w:rFonts w:ascii="Arial" w:eastAsia="Times New Roman" w:hAnsi="Arial" w:cs="Arial"/>
          <w:sz w:val="20"/>
          <w:szCs w:val="13"/>
        </w:rPr>
        <w:t xml:space="preserve">high school </w:t>
      </w:r>
      <w:r w:rsidRPr="00DC5584">
        <w:rPr>
          <w:rFonts w:ascii="Arial" w:eastAsia="Times New Roman" w:hAnsi="Arial" w:cs="Arial"/>
          <w:sz w:val="20"/>
          <w:szCs w:val="13"/>
        </w:rPr>
        <w:t>students in two subject areas fundamental to success in college;</w:t>
      </w:r>
    </w:p>
    <w:p w:rsidR="00BA2FAF" w:rsidRPr="007D6166" w:rsidRDefault="00BA2FAF" w:rsidP="00BA2FAF">
      <w:pPr>
        <w:numPr>
          <w:ilvl w:val="1"/>
          <w:numId w:val="8"/>
        </w:numPr>
        <w:shd w:val="clear" w:color="auto" w:fill="FFFFFF"/>
        <w:tabs>
          <w:tab w:val="num" w:pos="720"/>
        </w:tabs>
        <w:spacing w:after="40"/>
        <w:ind w:left="720" w:hanging="274"/>
        <w:rPr>
          <w:rFonts w:ascii="Arial" w:eastAsia="Times New Roman" w:hAnsi="Arial" w:cs="Arial"/>
          <w:sz w:val="20"/>
          <w:szCs w:val="13"/>
        </w:rPr>
      </w:pPr>
      <w:r w:rsidRPr="007D6166">
        <w:rPr>
          <w:rFonts w:ascii="Arial" w:eastAsia="Times New Roman" w:hAnsi="Arial" w:cs="Arial"/>
          <w:sz w:val="20"/>
          <w:szCs w:val="13"/>
        </w:rPr>
        <w:t>establish an entry-level foundation/basic skills measure; and</w:t>
      </w:r>
    </w:p>
    <w:p w:rsidR="00BA2FAF" w:rsidRPr="007D6166" w:rsidRDefault="00BA2FAF" w:rsidP="00BA2FAF">
      <w:pPr>
        <w:numPr>
          <w:ilvl w:val="1"/>
          <w:numId w:val="8"/>
        </w:numPr>
        <w:shd w:val="clear" w:color="auto" w:fill="FFFFFF"/>
        <w:tabs>
          <w:tab w:val="num" w:pos="720"/>
        </w:tabs>
        <w:spacing w:after="160"/>
        <w:ind w:left="1080" w:hanging="634"/>
        <w:rPr>
          <w:rFonts w:ascii="Arial" w:eastAsia="Times New Roman" w:hAnsi="Arial" w:cs="Arial"/>
          <w:sz w:val="20"/>
          <w:szCs w:val="13"/>
        </w:rPr>
      </w:pPr>
      <w:r w:rsidRPr="007D6166">
        <w:rPr>
          <w:rFonts w:ascii="Arial" w:eastAsia="Times New Roman" w:hAnsi="Arial" w:cs="Arial"/>
          <w:sz w:val="20"/>
          <w:szCs w:val="13"/>
        </w:rPr>
        <w:t>increase the retention and graduation rates of college students;</w:t>
      </w:r>
    </w:p>
    <w:p w:rsidR="00BA2FAF" w:rsidRPr="007D6166" w:rsidRDefault="00BA2FAF" w:rsidP="00BA2FAF">
      <w:pPr>
        <w:shd w:val="clear" w:color="auto" w:fill="FFFFFF"/>
        <w:spacing w:after="200"/>
        <w:rPr>
          <w:rFonts w:ascii="Arial" w:hAnsi="Arial" w:cs="Arial"/>
          <w:sz w:val="20"/>
        </w:rPr>
      </w:pPr>
      <w:r w:rsidRPr="00F267D4">
        <w:rPr>
          <w:rFonts w:ascii="Arial" w:eastAsia="Times New Roman" w:hAnsi="Arial" w:cs="Arial"/>
          <w:b/>
          <w:bCs/>
          <w:sz w:val="21"/>
          <w:szCs w:val="21"/>
        </w:rPr>
        <w:t>General Consideration</w:t>
      </w:r>
      <w:r w:rsidRPr="007D6166">
        <w:rPr>
          <w:rFonts w:ascii="Arial" w:eastAsia="Times New Roman" w:hAnsi="Arial" w:cs="Arial"/>
          <w:bCs/>
          <w:sz w:val="20"/>
        </w:rPr>
        <w:t>. ACT’s national benchmarks are based on empirical studies of student performance in college: they are the minimum ACT subject-area test score to indicate a 50% chance of obtaining at least a “B” (or ~75% chance of at least a “C”) in the corresponding credit-bearing college courses</w:t>
      </w:r>
      <w:r>
        <w:rPr>
          <w:rFonts w:ascii="Arial" w:eastAsia="Times New Roman" w:hAnsi="Arial" w:cs="Arial"/>
          <w:bCs/>
          <w:sz w:val="20"/>
        </w:rPr>
        <w:t>: 18 ACT English; 22 ACT Math (College Algebra)</w:t>
      </w:r>
      <w:r w:rsidRPr="007D6166">
        <w:rPr>
          <w:rFonts w:ascii="Arial" w:eastAsia="Times New Roman" w:hAnsi="Arial" w:cs="Arial"/>
          <w:bCs/>
          <w:sz w:val="20"/>
        </w:rPr>
        <w:t>.</w:t>
      </w:r>
      <w:r w:rsidRPr="007D6166">
        <w:rPr>
          <w:rFonts w:ascii="Arial" w:hAnsi="Arial" w:cs="Arial"/>
          <w:sz w:val="20"/>
          <w:szCs w:val="20"/>
        </w:rPr>
        <w:t xml:space="preserve"> </w:t>
      </w:r>
      <w:r w:rsidRPr="007D6166">
        <w:rPr>
          <w:rFonts w:ascii="Arial" w:hAnsi="Arial" w:cs="Arial"/>
          <w:sz w:val="20"/>
        </w:rPr>
        <w:t xml:space="preserve">The minimum scores guidelines for placement in college-level, degree credit English or mathematics courses mirror the national benchmarks but recognize that not all </w:t>
      </w:r>
      <w:r>
        <w:rPr>
          <w:rFonts w:ascii="Arial" w:hAnsi="Arial" w:cs="Arial"/>
          <w:sz w:val="20"/>
        </w:rPr>
        <w:t>majors begin with College Algebra, and not all freshmen are ready to begin in courses that apply to their major.</w:t>
      </w:r>
    </w:p>
    <w:tbl>
      <w:tblPr>
        <w:tblStyle w:val="TableGrid"/>
        <w:tblW w:w="0" w:type="auto"/>
        <w:tblInd w:w="378" w:type="dxa"/>
        <w:tblLayout w:type="fixed"/>
        <w:tblLook w:val="04A0" w:firstRow="1" w:lastRow="0" w:firstColumn="1" w:lastColumn="0" w:noHBand="0" w:noVBand="1"/>
      </w:tblPr>
      <w:tblGrid>
        <w:gridCol w:w="1800"/>
        <w:gridCol w:w="2430"/>
        <w:gridCol w:w="2160"/>
        <w:gridCol w:w="2610"/>
      </w:tblGrid>
      <w:tr w:rsidR="00BA2FAF" w:rsidRPr="007D6166" w:rsidTr="00DE61FB">
        <w:tc>
          <w:tcPr>
            <w:tcW w:w="1800" w:type="dxa"/>
            <w:tcBorders>
              <w:bottom w:val="double" w:sz="4" w:space="0" w:color="auto"/>
            </w:tcBorders>
            <w:vAlign w:val="center"/>
          </w:tcPr>
          <w:p w:rsidR="00BA2FAF" w:rsidRPr="007D6166" w:rsidRDefault="00BA2FAF" w:rsidP="00DE61FB">
            <w:pPr>
              <w:jc w:val="center"/>
              <w:rPr>
                <w:rFonts w:ascii="Arial" w:hAnsi="Arial" w:cs="Arial"/>
                <w:b/>
                <w:sz w:val="20"/>
                <w:szCs w:val="20"/>
              </w:rPr>
            </w:pPr>
            <w:r w:rsidRPr="007D6166">
              <w:rPr>
                <w:rFonts w:ascii="Arial" w:hAnsi="Arial" w:cs="Arial"/>
                <w:b/>
                <w:sz w:val="20"/>
                <w:szCs w:val="20"/>
              </w:rPr>
              <w:t>College Course/ Course Area</w:t>
            </w:r>
          </w:p>
        </w:tc>
        <w:tc>
          <w:tcPr>
            <w:tcW w:w="2430" w:type="dxa"/>
            <w:tcBorders>
              <w:bottom w:val="double" w:sz="4" w:space="0" w:color="auto"/>
            </w:tcBorders>
            <w:vAlign w:val="center"/>
          </w:tcPr>
          <w:p w:rsidR="00BA2FAF" w:rsidRPr="007D6166" w:rsidRDefault="00BA2FAF" w:rsidP="00DE61FB">
            <w:pPr>
              <w:jc w:val="center"/>
              <w:rPr>
                <w:rFonts w:ascii="Arial" w:hAnsi="Arial" w:cs="Arial"/>
                <w:b/>
                <w:sz w:val="20"/>
                <w:szCs w:val="20"/>
              </w:rPr>
            </w:pPr>
            <w:r w:rsidRPr="007D6166">
              <w:rPr>
                <w:rFonts w:ascii="Arial" w:hAnsi="Arial" w:cs="Arial"/>
                <w:b/>
                <w:sz w:val="20"/>
                <w:szCs w:val="20"/>
              </w:rPr>
              <w:t xml:space="preserve">ACT </w:t>
            </w:r>
            <w:proofErr w:type="spellStart"/>
            <w:r w:rsidRPr="007D6166">
              <w:rPr>
                <w:rFonts w:ascii="Arial" w:hAnsi="Arial" w:cs="Arial"/>
                <w:b/>
                <w:sz w:val="20"/>
                <w:szCs w:val="20"/>
              </w:rPr>
              <w:t>Subscore</w:t>
            </w:r>
            <w:proofErr w:type="spellEnd"/>
          </w:p>
        </w:tc>
        <w:tc>
          <w:tcPr>
            <w:tcW w:w="2160" w:type="dxa"/>
            <w:tcBorders>
              <w:bottom w:val="double" w:sz="4" w:space="0" w:color="auto"/>
            </w:tcBorders>
            <w:vAlign w:val="center"/>
          </w:tcPr>
          <w:p w:rsidR="00BA2FAF" w:rsidRPr="007D6166" w:rsidRDefault="00BA2FAF" w:rsidP="00DE61FB">
            <w:pPr>
              <w:jc w:val="center"/>
              <w:rPr>
                <w:rFonts w:ascii="Arial" w:hAnsi="Arial" w:cs="Arial"/>
                <w:b/>
                <w:sz w:val="20"/>
                <w:szCs w:val="20"/>
              </w:rPr>
            </w:pPr>
            <w:r w:rsidRPr="007D6166">
              <w:rPr>
                <w:rFonts w:ascii="Arial" w:hAnsi="Arial" w:cs="Arial"/>
                <w:b/>
                <w:sz w:val="20"/>
                <w:szCs w:val="20"/>
              </w:rPr>
              <w:t xml:space="preserve">SAT </w:t>
            </w:r>
            <w:proofErr w:type="spellStart"/>
            <w:r w:rsidRPr="007D6166">
              <w:rPr>
                <w:rFonts w:ascii="Arial" w:hAnsi="Arial" w:cs="Arial"/>
                <w:b/>
                <w:sz w:val="20"/>
                <w:szCs w:val="20"/>
              </w:rPr>
              <w:t>Subscore</w:t>
            </w:r>
            <w:proofErr w:type="spellEnd"/>
          </w:p>
        </w:tc>
        <w:tc>
          <w:tcPr>
            <w:tcW w:w="2610" w:type="dxa"/>
            <w:tcBorders>
              <w:bottom w:val="double" w:sz="4" w:space="0" w:color="auto"/>
            </w:tcBorders>
            <w:vAlign w:val="center"/>
          </w:tcPr>
          <w:p w:rsidR="00BA2FAF" w:rsidRPr="007D6166" w:rsidRDefault="00BA2FAF" w:rsidP="00DE61FB">
            <w:pPr>
              <w:jc w:val="center"/>
              <w:rPr>
                <w:rFonts w:ascii="Arial" w:hAnsi="Arial" w:cs="Arial"/>
                <w:b/>
                <w:sz w:val="20"/>
                <w:szCs w:val="20"/>
              </w:rPr>
            </w:pPr>
            <w:r w:rsidRPr="007D6166">
              <w:rPr>
                <w:rFonts w:ascii="Arial" w:hAnsi="Arial" w:cs="Arial"/>
                <w:b/>
                <w:sz w:val="20"/>
                <w:szCs w:val="20"/>
              </w:rPr>
              <w:t>ACCUPLACER</w:t>
            </w:r>
          </w:p>
        </w:tc>
      </w:tr>
      <w:tr w:rsidR="00BA2FAF" w:rsidRPr="007D6166" w:rsidTr="00DE61FB">
        <w:trPr>
          <w:trHeight w:val="530"/>
        </w:trPr>
        <w:tc>
          <w:tcPr>
            <w:tcW w:w="1800" w:type="dxa"/>
            <w:tcBorders>
              <w:top w:val="double" w:sz="4" w:space="0" w:color="auto"/>
            </w:tcBorders>
            <w:vAlign w:val="center"/>
          </w:tcPr>
          <w:p w:rsidR="00BA2FAF" w:rsidRPr="007D6166" w:rsidRDefault="00BA2FAF" w:rsidP="00DE61FB">
            <w:pPr>
              <w:jc w:val="center"/>
              <w:rPr>
                <w:rFonts w:ascii="Arial" w:hAnsi="Arial" w:cs="Arial"/>
                <w:sz w:val="20"/>
                <w:szCs w:val="20"/>
              </w:rPr>
            </w:pPr>
            <w:r w:rsidRPr="007D6166">
              <w:rPr>
                <w:rFonts w:ascii="Arial" w:hAnsi="Arial" w:cs="Arial"/>
                <w:sz w:val="20"/>
                <w:szCs w:val="20"/>
              </w:rPr>
              <w:t>English Composition</w:t>
            </w:r>
          </w:p>
        </w:tc>
        <w:tc>
          <w:tcPr>
            <w:tcW w:w="2430" w:type="dxa"/>
            <w:tcBorders>
              <w:top w:val="double" w:sz="4" w:space="0" w:color="auto"/>
            </w:tcBorders>
            <w:vAlign w:val="center"/>
          </w:tcPr>
          <w:p w:rsidR="00BA2FAF" w:rsidRPr="007D6166" w:rsidRDefault="00BA2FAF" w:rsidP="00DE61FB">
            <w:pPr>
              <w:jc w:val="center"/>
              <w:rPr>
                <w:rFonts w:ascii="Arial" w:hAnsi="Arial" w:cs="Arial"/>
                <w:sz w:val="20"/>
                <w:szCs w:val="20"/>
              </w:rPr>
            </w:pPr>
            <w:r w:rsidRPr="007D6166">
              <w:rPr>
                <w:rFonts w:ascii="Arial" w:hAnsi="Arial" w:cs="Arial"/>
                <w:sz w:val="20"/>
                <w:szCs w:val="20"/>
              </w:rPr>
              <w:t>18 ENGLISH</w:t>
            </w:r>
          </w:p>
        </w:tc>
        <w:tc>
          <w:tcPr>
            <w:tcW w:w="2160" w:type="dxa"/>
            <w:tcBorders>
              <w:top w:val="double" w:sz="4" w:space="0" w:color="auto"/>
            </w:tcBorders>
            <w:vAlign w:val="center"/>
          </w:tcPr>
          <w:p w:rsidR="00BA2FAF" w:rsidRPr="007D6166" w:rsidRDefault="00BA2FAF" w:rsidP="00DE61FB">
            <w:pPr>
              <w:jc w:val="center"/>
              <w:rPr>
                <w:rFonts w:ascii="Arial" w:hAnsi="Arial" w:cs="Arial"/>
                <w:sz w:val="20"/>
                <w:szCs w:val="20"/>
              </w:rPr>
            </w:pPr>
            <w:r w:rsidRPr="007D6166">
              <w:rPr>
                <w:rFonts w:ascii="Arial" w:hAnsi="Arial" w:cs="Arial"/>
                <w:sz w:val="20"/>
                <w:szCs w:val="20"/>
              </w:rPr>
              <w:t>25 WL</w:t>
            </w:r>
          </w:p>
        </w:tc>
        <w:tc>
          <w:tcPr>
            <w:tcW w:w="2610" w:type="dxa"/>
            <w:tcBorders>
              <w:top w:val="double" w:sz="4" w:space="0" w:color="auto"/>
            </w:tcBorders>
            <w:vAlign w:val="center"/>
          </w:tcPr>
          <w:p w:rsidR="00BA2FAF" w:rsidRPr="007D6166" w:rsidRDefault="00BA2FAF" w:rsidP="00DE61FB">
            <w:pPr>
              <w:jc w:val="center"/>
              <w:rPr>
                <w:rFonts w:ascii="Arial" w:hAnsi="Arial" w:cs="Arial"/>
                <w:sz w:val="20"/>
                <w:szCs w:val="20"/>
              </w:rPr>
            </w:pPr>
            <w:r w:rsidRPr="007D6166">
              <w:rPr>
                <w:rFonts w:ascii="Arial" w:eastAsia="Times New Roman" w:hAnsi="Arial" w:cs="Arial"/>
                <w:sz w:val="20"/>
                <w:szCs w:val="20"/>
              </w:rPr>
              <w:t>86  Sentence Skills</w:t>
            </w:r>
          </w:p>
        </w:tc>
      </w:tr>
      <w:tr w:rsidR="00BA2FAF" w:rsidRPr="007D6166" w:rsidTr="00DE61FB">
        <w:trPr>
          <w:trHeight w:val="512"/>
        </w:trPr>
        <w:tc>
          <w:tcPr>
            <w:tcW w:w="1800" w:type="dxa"/>
            <w:vAlign w:val="center"/>
          </w:tcPr>
          <w:p w:rsidR="00BA2FAF" w:rsidRPr="007D6166" w:rsidRDefault="00BA2FAF" w:rsidP="00DE61FB">
            <w:pPr>
              <w:jc w:val="center"/>
              <w:rPr>
                <w:rFonts w:ascii="Arial" w:hAnsi="Arial" w:cs="Arial"/>
                <w:sz w:val="20"/>
                <w:szCs w:val="20"/>
              </w:rPr>
            </w:pPr>
            <w:r w:rsidRPr="007D6166">
              <w:rPr>
                <w:rFonts w:ascii="Arial" w:hAnsi="Arial" w:cs="Arial"/>
                <w:sz w:val="20"/>
                <w:szCs w:val="20"/>
              </w:rPr>
              <w:t>College Mathematics</w:t>
            </w:r>
          </w:p>
        </w:tc>
        <w:tc>
          <w:tcPr>
            <w:tcW w:w="2430" w:type="dxa"/>
            <w:vAlign w:val="center"/>
          </w:tcPr>
          <w:p w:rsidR="00BA2FAF" w:rsidRPr="007D6166" w:rsidRDefault="00BA2FAF" w:rsidP="00DE61FB">
            <w:pPr>
              <w:jc w:val="center"/>
              <w:rPr>
                <w:rFonts w:ascii="Arial" w:hAnsi="Arial" w:cs="Arial"/>
                <w:sz w:val="20"/>
                <w:szCs w:val="20"/>
              </w:rPr>
            </w:pPr>
            <w:r w:rsidRPr="007D6166">
              <w:rPr>
                <w:rFonts w:ascii="Arial" w:hAnsi="Arial" w:cs="Arial"/>
                <w:sz w:val="20"/>
                <w:szCs w:val="20"/>
              </w:rPr>
              <w:t>19 MATH</w:t>
            </w:r>
            <w:r>
              <w:rPr>
                <w:rFonts w:ascii="Arial" w:hAnsi="Arial" w:cs="Arial"/>
                <w:sz w:val="20"/>
                <w:szCs w:val="20"/>
              </w:rPr>
              <w:t xml:space="preserve"> *</w:t>
            </w:r>
          </w:p>
        </w:tc>
        <w:tc>
          <w:tcPr>
            <w:tcW w:w="2160" w:type="dxa"/>
            <w:vAlign w:val="center"/>
          </w:tcPr>
          <w:p w:rsidR="00BA2FAF" w:rsidRPr="007D6166" w:rsidRDefault="00BA2FAF" w:rsidP="00DE61FB">
            <w:pPr>
              <w:jc w:val="center"/>
              <w:rPr>
                <w:rFonts w:ascii="Arial" w:eastAsia="Times New Roman" w:hAnsi="Arial" w:cs="Arial"/>
                <w:sz w:val="20"/>
                <w:szCs w:val="20"/>
              </w:rPr>
            </w:pPr>
            <w:r w:rsidRPr="007D6166">
              <w:rPr>
                <w:rFonts w:ascii="Arial" w:eastAsia="Times New Roman" w:hAnsi="Arial" w:cs="Arial"/>
                <w:sz w:val="20"/>
                <w:szCs w:val="20"/>
              </w:rPr>
              <w:t>25-25.5 or 500-510 M</w:t>
            </w:r>
          </w:p>
        </w:tc>
        <w:tc>
          <w:tcPr>
            <w:tcW w:w="2610" w:type="dxa"/>
            <w:vAlign w:val="center"/>
          </w:tcPr>
          <w:p w:rsidR="00BA2FAF" w:rsidRPr="007D6166" w:rsidRDefault="00BA2FAF" w:rsidP="00DE61FB">
            <w:pPr>
              <w:jc w:val="center"/>
              <w:rPr>
                <w:rFonts w:ascii="Arial" w:hAnsi="Arial" w:cs="Arial"/>
                <w:sz w:val="20"/>
                <w:szCs w:val="20"/>
              </w:rPr>
            </w:pPr>
            <w:r>
              <w:rPr>
                <w:rFonts w:ascii="Arial" w:eastAsia="Times New Roman" w:hAnsi="Arial" w:cs="Arial"/>
                <w:sz w:val="20"/>
                <w:szCs w:val="20"/>
              </w:rPr>
              <w:t>65  Elementary Algebra *</w:t>
            </w:r>
          </w:p>
        </w:tc>
      </w:tr>
      <w:tr w:rsidR="00BA2FAF" w:rsidRPr="007D6166" w:rsidTr="00DE61FB">
        <w:trPr>
          <w:trHeight w:val="1538"/>
        </w:trPr>
        <w:tc>
          <w:tcPr>
            <w:tcW w:w="9000" w:type="dxa"/>
            <w:gridSpan w:val="4"/>
            <w:vAlign w:val="center"/>
          </w:tcPr>
          <w:p w:rsidR="00BA2FAF" w:rsidRDefault="00BA2FAF" w:rsidP="00DE61FB">
            <w:pPr>
              <w:ind w:left="360" w:hanging="360"/>
              <w:rPr>
                <w:rFonts w:ascii="Arial" w:eastAsia="Times New Roman" w:hAnsi="Arial" w:cs="Arial"/>
                <w:sz w:val="19"/>
                <w:szCs w:val="19"/>
              </w:rPr>
            </w:pPr>
            <w:r>
              <w:rPr>
                <w:rFonts w:ascii="Arial" w:eastAsia="Times New Roman" w:hAnsi="Arial" w:cs="Arial"/>
                <w:sz w:val="19"/>
                <w:szCs w:val="19"/>
              </w:rPr>
              <w:t xml:space="preserve">- </w:t>
            </w:r>
            <w:r w:rsidRPr="00F267D4">
              <w:rPr>
                <w:rFonts w:ascii="Arial" w:eastAsia="Times New Roman" w:hAnsi="Arial" w:cs="Arial"/>
                <w:sz w:val="19"/>
                <w:szCs w:val="19"/>
              </w:rPr>
              <w:t>Passing grade in college-level English or Math</w:t>
            </w:r>
            <w:r>
              <w:rPr>
                <w:rFonts w:ascii="Arial" w:eastAsia="Times New Roman" w:hAnsi="Arial" w:cs="Arial"/>
                <w:sz w:val="19"/>
                <w:szCs w:val="19"/>
              </w:rPr>
              <w:t>,</w:t>
            </w:r>
            <w:r w:rsidRPr="00F267D4">
              <w:rPr>
                <w:rFonts w:ascii="Arial" w:eastAsia="Times New Roman" w:hAnsi="Arial" w:cs="Arial"/>
                <w:sz w:val="19"/>
                <w:szCs w:val="19"/>
              </w:rPr>
              <w:t xml:space="preserve"> or ≥C grade in an appropriate developmental English/</w:t>
            </w:r>
            <w:r>
              <w:rPr>
                <w:rFonts w:ascii="Arial" w:eastAsia="Times New Roman" w:hAnsi="Arial" w:cs="Arial"/>
                <w:sz w:val="19"/>
                <w:szCs w:val="19"/>
              </w:rPr>
              <w:t xml:space="preserve"> </w:t>
            </w:r>
            <w:r w:rsidRPr="00F267D4">
              <w:rPr>
                <w:rFonts w:ascii="Arial" w:eastAsia="Times New Roman" w:hAnsi="Arial" w:cs="Arial"/>
                <w:sz w:val="19"/>
                <w:szCs w:val="19"/>
              </w:rPr>
              <w:t>Math course within the last</w:t>
            </w:r>
            <w:r>
              <w:rPr>
                <w:rFonts w:ascii="Arial" w:eastAsia="Times New Roman" w:hAnsi="Arial" w:cs="Arial"/>
                <w:sz w:val="19"/>
                <w:szCs w:val="19"/>
              </w:rPr>
              <w:t xml:space="preserve"> 18</w:t>
            </w:r>
            <w:r w:rsidRPr="00F267D4">
              <w:rPr>
                <w:rFonts w:ascii="Arial" w:eastAsia="Times New Roman" w:hAnsi="Arial" w:cs="Arial"/>
                <w:sz w:val="19"/>
                <w:szCs w:val="19"/>
              </w:rPr>
              <w:t xml:space="preserve"> months.</w:t>
            </w:r>
            <w:r>
              <w:rPr>
                <w:rFonts w:ascii="Arial" w:eastAsia="Times New Roman" w:hAnsi="Arial" w:cs="Arial"/>
                <w:sz w:val="19"/>
                <w:szCs w:val="19"/>
              </w:rPr>
              <w:t xml:space="preserve">  </w:t>
            </w:r>
          </w:p>
          <w:p w:rsidR="00BA2FAF" w:rsidRDefault="00BA2FAF" w:rsidP="00DE61FB">
            <w:pPr>
              <w:ind w:left="360" w:hanging="360"/>
              <w:rPr>
                <w:rFonts w:ascii="Arial" w:eastAsia="Times New Roman" w:hAnsi="Arial" w:cs="Arial"/>
                <w:sz w:val="19"/>
                <w:szCs w:val="19"/>
              </w:rPr>
            </w:pPr>
            <w:r>
              <w:rPr>
                <w:rFonts w:ascii="Arial" w:eastAsia="Times New Roman" w:hAnsi="Arial" w:cs="Arial"/>
                <w:sz w:val="19"/>
                <w:szCs w:val="19"/>
              </w:rPr>
              <w:t xml:space="preserve">- *For College Algebra: &gt;20 ACT Math, 530 SAT Math, or </w:t>
            </w:r>
            <w:r w:rsidRPr="00F267D4">
              <w:rPr>
                <w:rFonts w:ascii="Arial" w:eastAsia="Times New Roman" w:hAnsi="Arial" w:cs="Arial"/>
                <w:sz w:val="19"/>
                <w:szCs w:val="19"/>
              </w:rPr>
              <w:t>≥</w:t>
            </w:r>
            <w:r>
              <w:rPr>
                <w:rFonts w:ascii="Arial" w:eastAsia="Times New Roman" w:hAnsi="Arial" w:cs="Arial"/>
                <w:sz w:val="19"/>
                <w:szCs w:val="19"/>
              </w:rPr>
              <w:t xml:space="preserve">70 </w:t>
            </w:r>
            <w:proofErr w:type="spellStart"/>
            <w:r>
              <w:rPr>
                <w:rFonts w:ascii="Arial" w:eastAsia="Times New Roman" w:hAnsi="Arial" w:cs="Arial"/>
                <w:sz w:val="19"/>
                <w:szCs w:val="19"/>
              </w:rPr>
              <w:t>Accuplacer</w:t>
            </w:r>
            <w:proofErr w:type="spellEnd"/>
            <w:r>
              <w:rPr>
                <w:rFonts w:ascii="Arial" w:eastAsia="Times New Roman" w:hAnsi="Arial" w:cs="Arial"/>
                <w:sz w:val="19"/>
                <w:szCs w:val="19"/>
              </w:rPr>
              <w:t xml:space="preserve"> </w:t>
            </w:r>
            <w:proofErr w:type="spellStart"/>
            <w:r>
              <w:rPr>
                <w:rFonts w:ascii="Arial" w:eastAsia="Times New Roman" w:hAnsi="Arial" w:cs="Arial"/>
                <w:sz w:val="19"/>
                <w:szCs w:val="19"/>
              </w:rPr>
              <w:t>Colg-Lvl</w:t>
            </w:r>
            <w:proofErr w:type="spellEnd"/>
            <w:r>
              <w:rPr>
                <w:rFonts w:ascii="Arial" w:eastAsia="Times New Roman" w:hAnsi="Arial" w:cs="Arial"/>
                <w:sz w:val="19"/>
                <w:szCs w:val="19"/>
              </w:rPr>
              <w:t xml:space="preserve"> Math recommended.</w:t>
            </w:r>
          </w:p>
          <w:p w:rsidR="00BA2FAF" w:rsidRDefault="00BA2FAF" w:rsidP="00DE61FB">
            <w:pPr>
              <w:ind w:left="360" w:hanging="360"/>
              <w:rPr>
                <w:rFonts w:ascii="Arial" w:eastAsia="Times New Roman" w:hAnsi="Arial" w:cs="Arial"/>
                <w:sz w:val="19"/>
                <w:szCs w:val="19"/>
              </w:rPr>
            </w:pPr>
            <w:r>
              <w:rPr>
                <w:rFonts w:ascii="Arial" w:eastAsia="Times New Roman" w:hAnsi="Arial" w:cs="Arial"/>
                <w:sz w:val="19"/>
                <w:szCs w:val="19"/>
              </w:rPr>
              <w:t>- Alternate placement measures for Dual Enrollment students who have not yet taken the ACT in high school are addressed in the DE policy, AA 2.22.</w:t>
            </w:r>
          </w:p>
          <w:p w:rsidR="00BA2FAF" w:rsidRPr="00F267D4" w:rsidRDefault="00BA2FAF" w:rsidP="00DE61FB">
            <w:pPr>
              <w:rPr>
                <w:rFonts w:ascii="Arial" w:eastAsia="Times New Roman" w:hAnsi="Arial" w:cs="Arial"/>
                <w:sz w:val="19"/>
                <w:szCs w:val="19"/>
              </w:rPr>
            </w:pPr>
            <w:r>
              <w:rPr>
                <w:rFonts w:ascii="Arial" w:eastAsia="Times New Roman" w:hAnsi="Arial" w:cs="Arial"/>
                <w:sz w:val="19"/>
                <w:szCs w:val="19"/>
              </w:rPr>
              <w:t>- Other nationally normed placement assessment instruments, as approved by the Board of Regents.</w:t>
            </w:r>
          </w:p>
        </w:tc>
      </w:tr>
    </w:tbl>
    <w:p w:rsidR="00BA2FAF" w:rsidRPr="00AD5B93" w:rsidRDefault="00BA2FAF" w:rsidP="00BA2FAF">
      <w:pPr>
        <w:shd w:val="clear" w:color="auto" w:fill="FFFFFF"/>
        <w:spacing w:after="120"/>
        <w:rPr>
          <w:rFonts w:ascii="Arial" w:hAnsi="Arial" w:cs="Arial"/>
          <w:sz w:val="10"/>
          <w:szCs w:val="20"/>
        </w:rPr>
      </w:pPr>
    </w:p>
    <w:p w:rsidR="00BA2FAF" w:rsidRDefault="00BA2FAF" w:rsidP="00BA2FAF">
      <w:pPr>
        <w:shd w:val="clear" w:color="auto" w:fill="FFFFFF"/>
        <w:spacing w:after="120"/>
        <w:rPr>
          <w:rFonts w:ascii="Arial" w:hAnsi="Arial" w:cs="Arial"/>
          <w:sz w:val="20"/>
          <w:szCs w:val="20"/>
        </w:rPr>
      </w:pPr>
      <w:r w:rsidRPr="007D6166">
        <w:rPr>
          <w:rFonts w:ascii="Arial" w:hAnsi="Arial" w:cs="Arial"/>
          <w:sz w:val="20"/>
          <w:szCs w:val="20"/>
        </w:rPr>
        <w:t xml:space="preserve">The Board of Regents recognizes </w:t>
      </w:r>
      <w:r>
        <w:rPr>
          <w:rFonts w:ascii="Arial" w:hAnsi="Arial" w:cs="Arial"/>
          <w:sz w:val="20"/>
          <w:szCs w:val="20"/>
        </w:rPr>
        <w:t xml:space="preserve">that </w:t>
      </w:r>
      <w:r w:rsidRPr="007D6166">
        <w:rPr>
          <w:rFonts w:ascii="Arial" w:hAnsi="Arial" w:cs="Arial"/>
          <w:sz w:val="20"/>
          <w:szCs w:val="20"/>
        </w:rPr>
        <w:t>while a single cut score on an assessment may be an efficient measure, it provides only limited information on a student</w:t>
      </w:r>
      <w:r>
        <w:rPr>
          <w:rFonts w:ascii="Arial" w:hAnsi="Arial" w:cs="Arial"/>
          <w:sz w:val="20"/>
          <w:szCs w:val="20"/>
        </w:rPr>
        <w:t>’</w:t>
      </w:r>
      <w:r w:rsidRPr="007D6166">
        <w:rPr>
          <w:rFonts w:ascii="Arial" w:hAnsi="Arial" w:cs="Arial"/>
          <w:sz w:val="20"/>
          <w:szCs w:val="20"/>
        </w:rPr>
        <w:t>s level of college readiness</w:t>
      </w:r>
      <w:r>
        <w:rPr>
          <w:rFonts w:ascii="Arial" w:hAnsi="Arial" w:cs="Arial"/>
          <w:sz w:val="20"/>
          <w:szCs w:val="20"/>
        </w:rPr>
        <w:t xml:space="preserve">. </w:t>
      </w:r>
      <w:r w:rsidRPr="007D6166">
        <w:rPr>
          <w:rFonts w:ascii="Arial" w:hAnsi="Arial" w:cs="Arial"/>
          <w:sz w:val="20"/>
          <w:szCs w:val="20"/>
        </w:rPr>
        <w:t>Therefore, the placement benchmarks described above should be used in conjunction with other factors to determine whether and how an institution should provide accompanying support</w:t>
      </w:r>
      <w:r>
        <w:rPr>
          <w:rFonts w:ascii="Arial" w:hAnsi="Arial" w:cs="Arial"/>
          <w:sz w:val="20"/>
          <w:szCs w:val="20"/>
        </w:rPr>
        <w:t xml:space="preserve">. </w:t>
      </w:r>
      <w:r w:rsidRPr="007D6166">
        <w:rPr>
          <w:rFonts w:ascii="Arial" w:hAnsi="Arial" w:cs="Arial"/>
          <w:sz w:val="20"/>
          <w:szCs w:val="20"/>
        </w:rPr>
        <w:t xml:space="preserve">The decision to enroll a </w:t>
      </w:r>
      <w:r>
        <w:rPr>
          <w:rFonts w:ascii="Arial" w:hAnsi="Arial" w:cs="Arial"/>
          <w:sz w:val="20"/>
          <w:szCs w:val="20"/>
        </w:rPr>
        <w:t xml:space="preserve">college </w:t>
      </w:r>
      <w:r w:rsidRPr="007D6166">
        <w:rPr>
          <w:rFonts w:ascii="Arial" w:hAnsi="Arial" w:cs="Arial"/>
          <w:sz w:val="20"/>
          <w:szCs w:val="20"/>
        </w:rPr>
        <w:t>student in a</w:t>
      </w:r>
      <w:r>
        <w:rPr>
          <w:rFonts w:ascii="Arial" w:hAnsi="Arial" w:cs="Arial"/>
          <w:sz w:val="20"/>
          <w:szCs w:val="20"/>
        </w:rPr>
        <w:t>n entry-level</w:t>
      </w:r>
      <w:r w:rsidRPr="007D6166">
        <w:rPr>
          <w:rFonts w:ascii="Arial" w:hAnsi="Arial" w:cs="Arial"/>
          <w:sz w:val="20"/>
          <w:szCs w:val="20"/>
        </w:rPr>
        <w:t xml:space="preserve"> </w:t>
      </w:r>
      <w:r>
        <w:rPr>
          <w:rFonts w:ascii="Arial" w:hAnsi="Arial" w:cs="Arial"/>
          <w:sz w:val="20"/>
          <w:szCs w:val="20"/>
        </w:rPr>
        <w:t>degree credit</w:t>
      </w:r>
      <w:r w:rsidRPr="007D6166">
        <w:rPr>
          <w:rFonts w:ascii="Arial" w:hAnsi="Arial" w:cs="Arial"/>
          <w:sz w:val="20"/>
          <w:szCs w:val="20"/>
        </w:rPr>
        <w:t xml:space="preserve"> course rest</w:t>
      </w:r>
      <w:r>
        <w:rPr>
          <w:rFonts w:ascii="Arial" w:hAnsi="Arial" w:cs="Arial"/>
          <w:sz w:val="20"/>
          <w:szCs w:val="20"/>
        </w:rPr>
        <w:t>s</w:t>
      </w:r>
      <w:r w:rsidRPr="007D6166">
        <w:rPr>
          <w:rFonts w:ascii="Arial" w:hAnsi="Arial" w:cs="Arial"/>
          <w:sz w:val="20"/>
          <w:szCs w:val="20"/>
        </w:rPr>
        <w:t xml:space="preserve"> with the institution</w:t>
      </w:r>
      <w:r>
        <w:rPr>
          <w:rFonts w:ascii="Arial" w:hAnsi="Arial" w:cs="Arial"/>
          <w:sz w:val="20"/>
          <w:szCs w:val="20"/>
        </w:rPr>
        <w:t xml:space="preserve">. </w:t>
      </w:r>
    </w:p>
    <w:p w:rsidR="00BA2FAF" w:rsidRPr="007D6166" w:rsidRDefault="00BA2FAF" w:rsidP="00BA2FAF">
      <w:pPr>
        <w:shd w:val="clear" w:color="auto" w:fill="FFFFFF"/>
        <w:tabs>
          <w:tab w:val="num" w:pos="1350"/>
        </w:tabs>
        <w:spacing w:after="120"/>
        <w:rPr>
          <w:rFonts w:ascii="Arial" w:eastAsia="Times New Roman" w:hAnsi="Arial" w:cs="Arial"/>
          <w:b/>
          <w:sz w:val="20"/>
          <w:szCs w:val="13"/>
        </w:rPr>
      </w:pPr>
      <w:r w:rsidRPr="00F267D4">
        <w:rPr>
          <w:rFonts w:ascii="Arial" w:eastAsia="Times New Roman" w:hAnsi="Arial" w:cs="Arial"/>
          <w:b/>
          <w:sz w:val="21"/>
          <w:szCs w:val="21"/>
        </w:rPr>
        <w:t>Requirements for Placement</w:t>
      </w:r>
      <w:r w:rsidRPr="007D6166">
        <w:rPr>
          <w:rFonts w:ascii="Arial" w:eastAsia="Times New Roman" w:hAnsi="Arial" w:cs="Arial"/>
          <w:b/>
          <w:sz w:val="20"/>
          <w:szCs w:val="13"/>
        </w:rPr>
        <w:t xml:space="preserve">. </w:t>
      </w:r>
    </w:p>
    <w:p w:rsidR="00BA2FAF" w:rsidRDefault="00BA2FAF" w:rsidP="00BA2FAF">
      <w:pPr>
        <w:shd w:val="clear" w:color="auto" w:fill="FFFFFF"/>
        <w:tabs>
          <w:tab w:val="num" w:pos="1350"/>
        </w:tabs>
        <w:rPr>
          <w:rFonts w:ascii="Arial" w:hAnsi="Arial" w:cs="Arial"/>
          <w:sz w:val="20"/>
          <w:szCs w:val="20"/>
        </w:rPr>
      </w:pPr>
      <w:r w:rsidRPr="007D6166">
        <w:rPr>
          <w:rFonts w:ascii="Arial" w:eastAsia="Times New Roman" w:hAnsi="Arial" w:cs="Arial"/>
          <w:sz w:val="20"/>
          <w:szCs w:val="13"/>
        </w:rPr>
        <w:t xml:space="preserve">A College or University must assess basic student readiness based on one of the instruments listed above; the </w:t>
      </w:r>
      <w:r>
        <w:rPr>
          <w:rFonts w:ascii="Arial" w:eastAsia="Times New Roman" w:hAnsi="Arial" w:cs="Arial"/>
          <w:sz w:val="20"/>
          <w:szCs w:val="13"/>
        </w:rPr>
        <w:t xml:space="preserve">placement </w:t>
      </w:r>
      <w:r w:rsidRPr="007D6166">
        <w:rPr>
          <w:rFonts w:ascii="Arial" w:eastAsia="Times New Roman" w:hAnsi="Arial" w:cs="Arial"/>
          <w:sz w:val="20"/>
          <w:szCs w:val="13"/>
        </w:rPr>
        <w:t xml:space="preserve">score </w:t>
      </w:r>
      <w:r w:rsidRPr="00221575">
        <w:rPr>
          <w:rFonts w:ascii="Arial" w:eastAsia="Times New Roman" w:hAnsi="Arial" w:cs="Arial"/>
          <w:sz w:val="20"/>
          <w:szCs w:val="13"/>
          <w:u w:val="single"/>
        </w:rPr>
        <w:t>must be recorded and reported in SSPS for new and first-time freshman students</w:t>
      </w:r>
      <w:r w:rsidRPr="007D6166">
        <w:rPr>
          <w:rFonts w:ascii="Arial" w:eastAsia="Times New Roman" w:hAnsi="Arial" w:cs="Arial"/>
          <w:sz w:val="20"/>
          <w:szCs w:val="13"/>
        </w:rPr>
        <w:t>. An institution may add its own placement system or require further assessment to determine final placement, validated on the principle that students should have a 50% probability of making at least a “B” in the course, or 75% probability of making at least a “C”.</w:t>
      </w:r>
      <w:r>
        <w:rPr>
          <w:rFonts w:ascii="Arial" w:eastAsia="Times New Roman" w:hAnsi="Arial" w:cs="Arial"/>
          <w:sz w:val="20"/>
          <w:szCs w:val="13"/>
        </w:rPr>
        <w:t xml:space="preserve"> </w:t>
      </w:r>
      <w:r>
        <w:rPr>
          <w:rFonts w:ascii="Arial" w:hAnsi="Arial" w:cs="Arial"/>
          <w:sz w:val="20"/>
          <w:szCs w:val="20"/>
        </w:rPr>
        <w:t>When a broader review suggests readiness and the campus bypasses minimum placement recommendations,</w:t>
      </w:r>
      <w:r w:rsidRPr="007D6166">
        <w:rPr>
          <w:rFonts w:ascii="Arial" w:hAnsi="Arial" w:cs="Arial"/>
          <w:sz w:val="20"/>
          <w:szCs w:val="20"/>
        </w:rPr>
        <w:t xml:space="preserve"> </w:t>
      </w:r>
      <w:r>
        <w:rPr>
          <w:rFonts w:ascii="Arial" w:hAnsi="Arial" w:cs="Arial"/>
          <w:sz w:val="20"/>
          <w:szCs w:val="20"/>
        </w:rPr>
        <w:t xml:space="preserve">it has the obligation to address and remediate academic weaknesses of such students to support academic success. </w:t>
      </w:r>
    </w:p>
    <w:p w:rsidR="00BA2FAF" w:rsidRDefault="00BA2FAF" w:rsidP="00BA2FAF">
      <w:pPr>
        <w:shd w:val="clear" w:color="auto" w:fill="FFFFFF"/>
        <w:tabs>
          <w:tab w:val="num" w:pos="1350"/>
        </w:tabs>
        <w:rPr>
          <w:rFonts w:ascii="Arial" w:hAnsi="Arial" w:cs="Arial"/>
          <w:sz w:val="20"/>
          <w:szCs w:val="20"/>
        </w:rPr>
      </w:pPr>
      <w:r>
        <w:rPr>
          <w:rFonts w:ascii="Arial" w:hAnsi="Arial" w:cs="Arial"/>
          <w:sz w:val="20"/>
          <w:szCs w:val="20"/>
        </w:rPr>
        <w:t xml:space="preserve">On a </w:t>
      </w:r>
      <w:r w:rsidRPr="00A354D9">
        <w:rPr>
          <w:rFonts w:ascii="Arial" w:hAnsi="Arial" w:cs="Arial"/>
          <w:sz w:val="20"/>
          <w:szCs w:val="20"/>
          <w:u w:val="single"/>
        </w:rPr>
        <w:t>Pilot basis</w:t>
      </w:r>
      <w:r>
        <w:rPr>
          <w:rFonts w:ascii="Arial" w:hAnsi="Arial" w:cs="Arial"/>
          <w:sz w:val="20"/>
          <w:szCs w:val="20"/>
        </w:rPr>
        <w:t xml:space="preserve">, a college student </w:t>
      </w:r>
      <w:r w:rsidRPr="00AC11B2">
        <w:rPr>
          <w:rFonts w:ascii="Arial" w:hAnsi="Arial" w:cs="Arial"/>
          <w:sz w:val="20"/>
          <w:szCs w:val="20"/>
        </w:rPr>
        <w:t xml:space="preserve">with </w:t>
      </w:r>
      <w:r w:rsidRPr="00AC11B2">
        <w:rPr>
          <w:rFonts w:ascii="Arial" w:hAnsi="Arial" w:cs="Arial"/>
          <w:sz w:val="20"/>
          <w:szCs w:val="20"/>
          <w:u w:val="single"/>
        </w:rPr>
        <w:t xml:space="preserve">up to 3 points below the minimum </w:t>
      </w:r>
      <w:proofErr w:type="spellStart"/>
      <w:r w:rsidRPr="00AC11B2">
        <w:rPr>
          <w:rFonts w:ascii="Arial" w:hAnsi="Arial" w:cs="Arial"/>
          <w:sz w:val="20"/>
          <w:szCs w:val="20"/>
          <w:u w:val="single"/>
        </w:rPr>
        <w:t>subscore</w:t>
      </w:r>
      <w:proofErr w:type="spellEnd"/>
      <w:r w:rsidRPr="00AC11B2">
        <w:rPr>
          <w:rFonts w:ascii="Arial" w:hAnsi="Arial" w:cs="Arial"/>
          <w:sz w:val="20"/>
          <w:szCs w:val="20"/>
        </w:rPr>
        <w:t xml:space="preserve"> (</w:t>
      </w:r>
      <w:r>
        <w:rPr>
          <w:rFonts w:ascii="Arial" w:hAnsi="Arial" w:cs="Arial"/>
          <w:sz w:val="20"/>
          <w:szCs w:val="20"/>
        </w:rPr>
        <w:t>as low as</w:t>
      </w:r>
      <w:r w:rsidRPr="00AC11B2">
        <w:rPr>
          <w:rFonts w:ascii="Arial" w:hAnsi="Arial" w:cs="Arial"/>
          <w:sz w:val="20"/>
          <w:szCs w:val="20"/>
        </w:rPr>
        <w:t xml:space="preserve"> 15 ACT English; 16 ACT Math) may be enrolled in an entry-level, college-level English or Mathematics course, provided that</w:t>
      </w:r>
      <w:r>
        <w:rPr>
          <w:rFonts w:ascii="Arial" w:hAnsi="Arial" w:cs="Arial"/>
          <w:sz w:val="20"/>
          <w:szCs w:val="20"/>
        </w:rPr>
        <w:t xml:space="preserve"> the campus provides a 1-3 hour/week co-requisite support component to promote student learning. Co-requisite academic support services could include a corresponding remedial/review section; expanded course hours/week (5-hours vs 3-hours); mandatory math/writing labs; expanded office hours; etc.</w:t>
      </w:r>
    </w:p>
    <w:p w:rsidR="00BA2FAF" w:rsidRDefault="00BA2FAF" w:rsidP="00BA2FAF">
      <w:pPr>
        <w:shd w:val="clear" w:color="auto" w:fill="FFFFFF"/>
        <w:tabs>
          <w:tab w:val="num" w:pos="1350"/>
        </w:tabs>
        <w:rPr>
          <w:rFonts w:ascii="Arial" w:eastAsia="Times New Roman" w:hAnsi="Arial" w:cs="Arial"/>
          <w:sz w:val="20"/>
          <w:szCs w:val="13"/>
        </w:rPr>
        <w:sectPr w:rsidR="00BA2FAF" w:rsidSect="00CC79D8">
          <w:headerReference w:type="default" r:id="rId12"/>
          <w:footerReference w:type="default" r:id="rId13"/>
          <w:pgSz w:w="12240" w:h="15840"/>
          <w:pgMar w:top="720" w:right="1152" w:bottom="810" w:left="1296" w:header="720" w:footer="420" w:gutter="0"/>
          <w:pgNumType w:start="1"/>
          <w:cols w:space="720"/>
          <w:docGrid w:linePitch="360"/>
        </w:sectPr>
      </w:pPr>
      <w:r w:rsidRPr="007D6166">
        <w:rPr>
          <w:rFonts w:ascii="Arial" w:eastAsia="Times New Roman" w:hAnsi="Arial" w:cs="Arial"/>
          <w:sz w:val="20"/>
          <w:szCs w:val="13"/>
        </w:rPr>
        <w:t xml:space="preserve">The </w:t>
      </w:r>
      <w:proofErr w:type="spellStart"/>
      <w:r>
        <w:rPr>
          <w:rFonts w:ascii="Arial" w:eastAsia="Times New Roman" w:hAnsi="Arial" w:cs="Arial"/>
          <w:sz w:val="20"/>
          <w:szCs w:val="13"/>
        </w:rPr>
        <w:t>BoR</w:t>
      </w:r>
      <w:proofErr w:type="spellEnd"/>
      <w:r w:rsidRPr="007D6166">
        <w:rPr>
          <w:rFonts w:ascii="Arial" w:eastAsia="Times New Roman" w:hAnsi="Arial" w:cs="Arial"/>
          <w:sz w:val="20"/>
          <w:szCs w:val="13"/>
        </w:rPr>
        <w:t xml:space="preserve"> will monitor success</w:t>
      </w:r>
      <w:r>
        <w:rPr>
          <w:rFonts w:ascii="Arial" w:eastAsia="Times New Roman" w:hAnsi="Arial" w:cs="Arial"/>
          <w:sz w:val="20"/>
          <w:szCs w:val="13"/>
        </w:rPr>
        <w:t xml:space="preserve"> of</w:t>
      </w:r>
      <w:r w:rsidRPr="007D6166">
        <w:rPr>
          <w:rFonts w:ascii="Arial" w:eastAsia="Times New Roman" w:hAnsi="Arial" w:cs="Arial"/>
          <w:sz w:val="20"/>
          <w:szCs w:val="13"/>
        </w:rPr>
        <w:t xml:space="preserve"> students with less than the minimum placement guidelines, focusing on: </w:t>
      </w:r>
      <w:r>
        <w:rPr>
          <w:rFonts w:ascii="Arial" w:eastAsia="Times New Roman" w:hAnsi="Arial" w:cs="Arial"/>
          <w:sz w:val="20"/>
          <w:szCs w:val="13"/>
        </w:rPr>
        <w:t xml:space="preserve">English/math course </w:t>
      </w:r>
      <w:r w:rsidRPr="007D6166">
        <w:rPr>
          <w:rFonts w:ascii="Arial" w:eastAsia="Times New Roman" w:hAnsi="Arial" w:cs="Arial"/>
          <w:sz w:val="20"/>
          <w:szCs w:val="13"/>
        </w:rPr>
        <w:t xml:space="preserve">grades; </w:t>
      </w:r>
      <w:r>
        <w:rPr>
          <w:rFonts w:ascii="Arial" w:eastAsia="Times New Roman" w:hAnsi="Arial" w:cs="Arial"/>
          <w:sz w:val="20"/>
          <w:szCs w:val="13"/>
        </w:rPr>
        <w:t xml:space="preserve">semester/term GPA; </w:t>
      </w:r>
      <w:r w:rsidRPr="007D6166">
        <w:rPr>
          <w:rFonts w:ascii="Arial" w:eastAsia="Times New Roman" w:hAnsi="Arial" w:cs="Arial"/>
          <w:sz w:val="20"/>
          <w:szCs w:val="13"/>
        </w:rPr>
        <w:t>enrollment persistence; and graduation/completion.</w:t>
      </w:r>
      <w:r>
        <w:rPr>
          <w:rFonts w:ascii="Arial" w:eastAsia="Times New Roman" w:hAnsi="Arial" w:cs="Arial"/>
          <w:sz w:val="20"/>
          <w:szCs w:val="13"/>
        </w:rPr>
        <w:t xml:space="preserve"> Entering and returning classes in 2018-19 to 2020-21 will be reviewed, with an update and recommendation to the Board of Regents in </w:t>
      </w:r>
      <w:proofErr w:type="gramStart"/>
      <w:r>
        <w:rPr>
          <w:rFonts w:ascii="Arial" w:eastAsia="Times New Roman" w:hAnsi="Arial" w:cs="Arial"/>
          <w:sz w:val="20"/>
          <w:szCs w:val="13"/>
        </w:rPr>
        <w:t>Spring</w:t>
      </w:r>
      <w:proofErr w:type="gramEnd"/>
      <w:r>
        <w:rPr>
          <w:rFonts w:ascii="Arial" w:eastAsia="Times New Roman" w:hAnsi="Arial" w:cs="Arial"/>
          <w:sz w:val="20"/>
          <w:szCs w:val="13"/>
        </w:rPr>
        <w:t>, 2020 regarding the impact and recommendations re: continuation of the Pilot.</w:t>
      </w:r>
    </w:p>
    <w:p w:rsidR="00BA2FAF" w:rsidRDefault="00BA2FAF" w:rsidP="00192D38">
      <w:pPr>
        <w:spacing w:after="120" w:line="276" w:lineRule="auto"/>
      </w:pPr>
      <w:r>
        <w:lastRenderedPageBreak/>
        <w:t xml:space="preserve">ENROLLED </w:t>
      </w:r>
    </w:p>
    <w:p w:rsidR="00BA2FAF" w:rsidRDefault="00BA2FAF" w:rsidP="00192D38">
      <w:pPr>
        <w:spacing w:after="120" w:line="276" w:lineRule="auto"/>
      </w:pPr>
      <w:r>
        <w:t xml:space="preserve">2017 Regular Session </w:t>
      </w:r>
    </w:p>
    <w:p w:rsidR="00BA2FAF" w:rsidRDefault="00BA2FAF" w:rsidP="00192D38">
      <w:pPr>
        <w:spacing w:after="120" w:line="276" w:lineRule="auto"/>
      </w:pPr>
      <w:r>
        <w:t xml:space="preserve">HOUSE CONCURRENT RESOLUTION NO. 89 </w:t>
      </w:r>
    </w:p>
    <w:p w:rsidR="00BA2FAF" w:rsidRDefault="00BA2FAF" w:rsidP="00BA2FAF">
      <w:pPr>
        <w:spacing w:after="200" w:line="276" w:lineRule="auto"/>
      </w:pPr>
      <w:r>
        <w:t xml:space="preserve">BY REPRESENTATIVE STOKES </w:t>
      </w:r>
    </w:p>
    <w:p w:rsidR="00BA2FAF" w:rsidRDefault="00BA2FAF" w:rsidP="00BA2FAF">
      <w:pPr>
        <w:spacing w:after="200" w:line="276" w:lineRule="auto"/>
        <w:jc w:val="center"/>
      </w:pPr>
      <w:r>
        <w:t>A CONCURRENT RESOLUTION</w:t>
      </w:r>
    </w:p>
    <w:p w:rsidR="00192D38" w:rsidRDefault="00BA2FAF" w:rsidP="00BA2FAF">
      <w:pPr>
        <w:spacing w:after="200" w:line="276" w:lineRule="auto"/>
      </w:pPr>
      <w:r>
        <w:t xml:space="preserve">To urge and request the Board of Regents and the Board of Supervisors for the University of Louisiana System to study jointly the possibility of revising the classification and admission standards of the University of New Orleans and the Board of Regents and the Board of Supervisors of Southern University and Agricultural and Mechanical College to study jointly the possibility of revising the classification and admission standards of Southern University at New Orleans and to submit a report of their findings and recommendations to the House Committee on Education and the Senate Committee on Education not later than sixty days prior to the beginning of the 2018 Regular Session of the Legislature. </w:t>
      </w:r>
    </w:p>
    <w:p w:rsidR="00192D38" w:rsidRDefault="00BA2FAF" w:rsidP="00BA2FAF">
      <w:pPr>
        <w:spacing w:after="200" w:line="276" w:lineRule="auto"/>
      </w:pPr>
      <w:r>
        <w:t xml:space="preserve">WHEREAS, minimum admission standards for each state university vary according to its classification by the Board of Regents as a flagship, statewide, or regional university; and </w:t>
      </w:r>
    </w:p>
    <w:p w:rsidR="00192D38" w:rsidRDefault="00BA2FAF" w:rsidP="00BA2FAF">
      <w:pPr>
        <w:spacing w:after="200" w:line="276" w:lineRule="auto"/>
      </w:pPr>
      <w:r>
        <w:t>WHEREAS, as the state's flagship university, Louisiana State University has the highest admission standards, followed by</w:t>
      </w:r>
      <w:r w:rsidR="00192D38">
        <w:t xml:space="preserve"> </w:t>
      </w:r>
      <w:r>
        <w:t xml:space="preserve">the statewide universities, which are the University of New Orleans, Louisiana Tech University, and the University of Louisiana at Lafayette; all other four-year universities are designated as regional universities, and their admission standards are lower than those for the three statewide universities; and </w:t>
      </w:r>
    </w:p>
    <w:p w:rsidR="00192D38" w:rsidRDefault="00BA2FAF" w:rsidP="00BA2FAF">
      <w:pPr>
        <w:spacing w:after="200" w:line="276" w:lineRule="auto"/>
      </w:pPr>
      <w:r>
        <w:t xml:space="preserve">WHEREAS, in addition to a specified high school core curriculum, a student must attain an overall minimum grade point average (GPA) of 2.0 to qualify for admission to any public university; and </w:t>
      </w:r>
    </w:p>
    <w:p w:rsidR="00192D38" w:rsidRDefault="00BA2FAF" w:rsidP="00BA2FAF">
      <w:pPr>
        <w:spacing w:after="200" w:line="276" w:lineRule="auto"/>
      </w:pPr>
      <w:r>
        <w:t xml:space="preserve">WHEREAS, beyond these requirements, a student must also attain either a minimum composite ACT score or a minimum GPA on core high school courses, and the baselines on the score and GPA differ based on the university's classification; for admission to the flagship university, a student must have a minimum GPA on the core courses of 3.0 or a minimum ACT score of 25; for admission to a statewide university, a student must have a minimum GPA on the core courses of 2.5 or a minimum ACT score of 23; and for admission to a regional university, a student must have a minimum GPA on the core courses of 2.0 or a minimum ACT score of 20; and </w:t>
      </w:r>
    </w:p>
    <w:p w:rsidR="00192D38" w:rsidRDefault="00BA2FAF" w:rsidP="00BA2FAF">
      <w:pPr>
        <w:spacing w:after="200" w:line="276" w:lineRule="auto"/>
      </w:pPr>
      <w:r>
        <w:t xml:space="preserve">WHEREAS, according to the Master Plan for Public Postsecondary Education in Louisiana: 2011, the University of New Orleans (UNO) is a comprehensive university with a mission to educate undergraduate and graduate students in a variety of arts, sciences, and professional programs and to conduct research in these fields; and </w:t>
      </w:r>
    </w:p>
    <w:p w:rsidR="00192D38" w:rsidRDefault="00BA2FAF" w:rsidP="00BA2FAF">
      <w:pPr>
        <w:spacing w:after="200" w:line="276" w:lineRule="auto"/>
      </w:pPr>
      <w:r>
        <w:t xml:space="preserve">WHEREAS, UNO attracted nearly fifty million dollars in extramural research and training awards in Fiscal Year 2016 and is classified by the Carnegie Classification of Institutions of </w:t>
      </w:r>
      <w:r>
        <w:lastRenderedPageBreak/>
        <w:t xml:space="preserve">Higher Education as a doctoral research university with higher research, one of only two Louisiana universities with this classification, which is the second highest Carnegie status that can be achieved; and </w:t>
      </w:r>
    </w:p>
    <w:p w:rsidR="00192D38" w:rsidRDefault="00BA2FAF" w:rsidP="00BA2FAF">
      <w:pPr>
        <w:spacing w:after="200" w:line="276" w:lineRule="auto"/>
      </w:pPr>
      <w:r>
        <w:t xml:space="preserve">WHEREAS, under the current Board of Regents classification system and associated admission standards, there are those who question whether UNO is able to properly fulfill its mission for the New Orleans Metropolitan Statistical Area, which had a 2016 population of approximately one million two hundred fifty thousand persons and an average ACT score of 19.7 for the 2015-2016 school year, and who believe that a new classification of urban research institution is necessary to provide sufficient opportunities to conduct applied research while serving both regional and state citizens electing to pursue education and training at UNO, the city's only public research institution; and </w:t>
      </w:r>
    </w:p>
    <w:p w:rsidR="00192D38" w:rsidRDefault="00BA2FAF" w:rsidP="00BA2FAF">
      <w:pPr>
        <w:spacing w:after="200" w:line="276" w:lineRule="auto"/>
      </w:pPr>
      <w:r>
        <w:t xml:space="preserve">WHEREAS, according to the Master Plan for Public Postsecondary Education in Louisiana: 2011, Southern University at New Orleans (SUNO), as the only public, historically black university in New Orleans, is primarily a teaching institution whose mission is successful education of undergraduate students and services to the employers and communities in its region; and </w:t>
      </w:r>
    </w:p>
    <w:p w:rsidR="00192D38" w:rsidRDefault="00BA2FAF" w:rsidP="00BA2FAF">
      <w:pPr>
        <w:spacing w:after="200" w:line="276" w:lineRule="auto"/>
      </w:pPr>
      <w:r>
        <w:t>WHEREAS, under the Board of Regents classification system and associated admission standards, many</w:t>
      </w:r>
      <w:r w:rsidR="00192D38">
        <w:t xml:space="preserve"> </w:t>
      </w:r>
      <w:r>
        <w:t xml:space="preserve">are concerned about whether SUNO is able to properly fulfill this mission in its region and believe that reclassification or modification of the admission standards is needed in order for SUNO to successfully fulfill its mission. </w:t>
      </w:r>
    </w:p>
    <w:p w:rsidR="00192D38" w:rsidRDefault="00BA2FAF" w:rsidP="00BA2FAF">
      <w:pPr>
        <w:spacing w:after="200" w:line="276" w:lineRule="auto"/>
      </w:pPr>
      <w:r>
        <w:t>THEREFORE, BE IT RESOLVED that the Legislature of Louisiana does hereby urge and request the Board of Regents and the Board of Supervisors for the University of Louisiana System to study jointly the possibility of revising the classification and admission standards of the University of New Orleans and the Board of Regents and the Board of Supervisors of Southern University</w:t>
      </w:r>
      <w:r w:rsidR="00192D38">
        <w:t xml:space="preserve"> </w:t>
      </w:r>
      <w:r>
        <w:t>and Agricultural and Mechanical College to study</w:t>
      </w:r>
      <w:r w:rsidR="00192D38">
        <w:t xml:space="preserve"> </w:t>
      </w:r>
      <w:r>
        <w:t xml:space="preserve">jointly the possibility of revising the classification and admission standards of Southern University at New Orleans and to submit a report of their findings and recommendations to the House Committee on Education and the Senate Committee on Education not later than sixty days prior to the beginning of the 2018 Regular Session of the Legislature. </w:t>
      </w:r>
    </w:p>
    <w:p w:rsidR="00192D38" w:rsidRDefault="00BA2FAF" w:rsidP="00192D38">
      <w:pPr>
        <w:spacing w:after="240" w:line="276" w:lineRule="auto"/>
      </w:pPr>
      <w:r>
        <w:t xml:space="preserve">BE IT FURTHER RESOLVED that a suitable copy of this Resolution be transmitted to the chairman of the Board of Regents, the commissioner of higher education, the chairman of the Board of Supervisors for the University of Louisiana System, the president of the University of Louisiana System, the president of the University of New Orleans, the chairman of the Board of Supervisors of Southern University and Agricultural and Mechanical College, the president of the Southern University System, and the president of Southern University at New Orleans. </w:t>
      </w:r>
    </w:p>
    <w:p w:rsidR="00192D38" w:rsidRDefault="00BA2FAF" w:rsidP="00192D38">
      <w:pPr>
        <w:spacing w:after="200" w:line="276" w:lineRule="auto"/>
        <w:jc w:val="right"/>
      </w:pPr>
      <w:r>
        <w:t xml:space="preserve">SPEAKER OF THE HOUSE OF REPRESENTATIVES </w:t>
      </w:r>
    </w:p>
    <w:p w:rsidR="002F0977" w:rsidRPr="001C4948" w:rsidRDefault="00BA2FAF" w:rsidP="00192D38">
      <w:pPr>
        <w:spacing w:after="200" w:line="276" w:lineRule="auto"/>
        <w:jc w:val="right"/>
        <w:rPr>
          <w:rFonts w:eastAsia="Times New Roman"/>
          <w:lang w:eastAsia="en-US"/>
        </w:rPr>
      </w:pPr>
      <w:r>
        <w:t>RESIDENT OF THE SENAT</w:t>
      </w:r>
      <w:r w:rsidR="00192D38">
        <w:t>E</w:t>
      </w:r>
    </w:p>
    <w:sectPr w:rsidR="002F0977" w:rsidRPr="001C4948" w:rsidSect="00192D38">
      <w:headerReference w:type="default" r:id="rId14"/>
      <w:footerReference w:type="default" r:id="rId15"/>
      <w:pgSz w:w="12240" w:h="15840"/>
      <w:pgMar w:top="1350" w:right="1440" w:bottom="90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9BA" w:rsidRDefault="004A59BA" w:rsidP="00734817">
      <w:r>
        <w:separator/>
      </w:r>
    </w:p>
  </w:endnote>
  <w:endnote w:type="continuationSeparator" w:id="0">
    <w:p w:rsidR="004A59BA" w:rsidRDefault="004A59BA" w:rsidP="0073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32605"/>
      <w:docPartObj>
        <w:docPartGallery w:val="Page Numbers (Bottom of Page)"/>
        <w:docPartUnique/>
      </w:docPartObj>
    </w:sdtPr>
    <w:sdtEndPr>
      <w:rPr>
        <w:noProof/>
      </w:rPr>
    </w:sdtEndPr>
    <w:sdtContent>
      <w:p w:rsidR="00E43391" w:rsidRDefault="00E43391">
        <w:pPr>
          <w:pStyle w:val="Footer"/>
          <w:jc w:val="center"/>
        </w:pPr>
        <w:r>
          <w:fldChar w:fldCharType="begin"/>
        </w:r>
        <w:r>
          <w:instrText xml:space="preserve"> PAGE   \* MERGEFORMAT </w:instrText>
        </w:r>
        <w:r>
          <w:fldChar w:fldCharType="separate"/>
        </w:r>
        <w:r w:rsidR="00343D34">
          <w:rPr>
            <w:noProof/>
          </w:rPr>
          <w:t>7</w:t>
        </w:r>
        <w:r>
          <w:rPr>
            <w:noProof/>
          </w:rPr>
          <w:fldChar w:fldCharType="end"/>
        </w:r>
      </w:p>
    </w:sdtContent>
  </w:sdt>
  <w:p w:rsidR="00E43391" w:rsidRDefault="00E43391" w:rsidP="00E43391">
    <w:pPr>
      <w:pStyle w:val="Footer"/>
      <w:jc w:val="center"/>
    </w:pPr>
  </w:p>
  <w:p w:rsidR="00651C1B" w:rsidRDefault="00651C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AF" w:rsidRPr="009F3D82" w:rsidRDefault="00BA2FAF" w:rsidP="00CC1FBC">
    <w:pPr>
      <w:pStyle w:val="Footer"/>
      <w:tabs>
        <w:tab w:val="left" w:pos="5940"/>
      </w:tabs>
      <w:rPr>
        <w:rFonts w:ascii="Arial" w:hAnsi="Arial" w:cs="Arial"/>
      </w:rPr>
    </w:pPr>
    <w:r>
      <w:tab/>
    </w:r>
    <w:r>
      <w:tab/>
    </w:r>
    <w:r>
      <w:rPr>
        <w:rFonts w:ascii="Arial" w:hAnsi="Arial" w:cs="Arial"/>
        <w:sz w:val="18"/>
      </w:rPr>
      <w:t>Approved, LA Board of Regents, 11 Dec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AF" w:rsidRPr="009F3D82" w:rsidRDefault="00BA2FAF" w:rsidP="00CC1FBC">
    <w:pPr>
      <w:pStyle w:val="Footer"/>
      <w:tabs>
        <w:tab w:val="left" w:pos="5940"/>
      </w:tabs>
      <w:rPr>
        <w:rFonts w:ascii="Arial" w:hAnsi="Arial" w:cs="Arial"/>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9BA" w:rsidRDefault="004A59BA" w:rsidP="00734817">
      <w:r>
        <w:separator/>
      </w:r>
    </w:p>
  </w:footnote>
  <w:footnote w:type="continuationSeparator" w:id="0">
    <w:p w:rsidR="004A59BA" w:rsidRDefault="004A59BA" w:rsidP="0073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38" w:rsidRDefault="00192D38" w:rsidP="00192D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D9" w:rsidRDefault="00C32BD9" w:rsidP="00BA2FAF">
    <w:pPr>
      <w:pStyle w:val="Header"/>
      <w:jc w:val="right"/>
    </w:pPr>
    <w:r>
      <w:t xml:space="preserve">Attachment: LA </w:t>
    </w:r>
    <w:proofErr w:type="spellStart"/>
    <w:r>
      <w:t>BoR</w:t>
    </w:r>
    <w:proofErr w:type="spellEnd"/>
    <w:r>
      <w:t xml:space="preserve"> Placement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AF" w:rsidRDefault="00BA2FAF" w:rsidP="00BA2FAF">
    <w:pPr>
      <w:pStyle w:val="Header"/>
      <w:jc w:val="right"/>
    </w:pPr>
    <w:r>
      <w:t>Attachment: HCR 89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14683"/>
    <w:multiLevelType w:val="hybridMultilevel"/>
    <w:tmpl w:val="8F400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4F6523"/>
    <w:multiLevelType w:val="hybridMultilevel"/>
    <w:tmpl w:val="9DAA2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AB1B11"/>
    <w:multiLevelType w:val="multilevel"/>
    <w:tmpl w:val="F77C1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900"/>
        </w:tabs>
        <w:ind w:left="90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95235"/>
    <w:multiLevelType w:val="hybridMultilevel"/>
    <w:tmpl w:val="00528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EF342B"/>
    <w:multiLevelType w:val="hybridMultilevel"/>
    <w:tmpl w:val="06D6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E4211"/>
    <w:multiLevelType w:val="hybridMultilevel"/>
    <w:tmpl w:val="717C2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9610B1"/>
    <w:multiLevelType w:val="hybridMultilevel"/>
    <w:tmpl w:val="97680840"/>
    <w:lvl w:ilvl="0" w:tplc="380CA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7"/>
    <w:rsid w:val="00000C5D"/>
    <w:rsid w:val="00037533"/>
    <w:rsid w:val="000465F6"/>
    <w:rsid w:val="000527E1"/>
    <w:rsid w:val="0006756E"/>
    <w:rsid w:val="00070325"/>
    <w:rsid w:val="00074862"/>
    <w:rsid w:val="0008673A"/>
    <w:rsid w:val="00091664"/>
    <w:rsid w:val="000A1269"/>
    <w:rsid w:val="000C641A"/>
    <w:rsid w:val="000E16D0"/>
    <w:rsid w:val="000F0DF1"/>
    <w:rsid w:val="000F18A5"/>
    <w:rsid w:val="00100971"/>
    <w:rsid w:val="001250FE"/>
    <w:rsid w:val="0013051B"/>
    <w:rsid w:val="001366E3"/>
    <w:rsid w:val="0015360E"/>
    <w:rsid w:val="0015550D"/>
    <w:rsid w:val="00160DE1"/>
    <w:rsid w:val="0017787D"/>
    <w:rsid w:val="00186AB4"/>
    <w:rsid w:val="00190FF4"/>
    <w:rsid w:val="00192D38"/>
    <w:rsid w:val="001A64DD"/>
    <w:rsid w:val="001A7C98"/>
    <w:rsid w:val="001B4DDE"/>
    <w:rsid w:val="001C1BF4"/>
    <w:rsid w:val="001C3952"/>
    <w:rsid w:val="001C4948"/>
    <w:rsid w:val="001D2AAC"/>
    <w:rsid w:val="001E1D0D"/>
    <w:rsid w:val="001E4D16"/>
    <w:rsid w:val="001E69EF"/>
    <w:rsid w:val="00226346"/>
    <w:rsid w:val="0022732D"/>
    <w:rsid w:val="00241748"/>
    <w:rsid w:val="00245A5D"/>
    <w:rsid w:val="00251F34"/>
    <w:rsid w:val="00262F34"/>
    <w:rsid w:val="0026407C"/>
    <w:rsid w:val="00280BE6"/>
    <w:rsid w:val="002871F4"/>
    <w:rsid w:val="00292160"/>
    <w:rsid w:val="002934CF"/>
    <w:rsid w:val="00293FF5"/>
    <w:rsid w:val="002A35E2"/>
    <w:rsid w:val="002A6D56"/>
    <w:rsid w:val="002A7711"/>
    <w:rsid w:val="002B1AE6"/>
    <w:rsid w:val="002C0047"/>
    <w:rsid w:val="002D3720"/>
    <w:rsid w:val="002D5538"/>
    <w:rsid w:val="002E0E61"/>
    <w:rsid w:val="002F0977"/>
    <w:rsid w:val="002F53D7"/>
    <w:rsid w:val="003010F7"/>
    <w:rsid w:val="00304293"/>
    <w:rsid w:val="00307371"/>
    <w:rsid w:val="0032134B"/>
    <w:rsid w:val="003279DE"/>
    <w:rsid w:val="00332046"/>
    <w:rsid w:val="0033498B"/>
    <w:rsid w:val="003438C7"/>
    <w:rsid w:val="00343D34"/>
    <w:rsid w:val="00347946"/>
    <w:rsid w:val="00356726"/>
    <w:rsid w:val="00362766"/>
    <w:rsid w:val="00366632"/>
    <w:rsid w:val="00376305"/>
    <w:rsid w:val="00383838"/>
    <w:rsid w:val="003955A8"/>
    <w:rsid w:val="003B097C"/>
    <w:rsid w:val="003E2E14"/>
    <w:rsid w:val="00400D18"/>
    <w:rsid w:val="0041401E"/>
    <w:rsid w:val="00423C3B"/>
    <w:rsid w:val="004316B5"/>
    <w:rsid w:val="00436DAF"/>
    <w:rsid w:val="0044220A"/>
    <w:rsid w:val="00443839"/>
    <w:rsid w:val="004539F3"/>
    <w:rsid w:val="00460A7E"/>
    <w:rsid w:val="00462CBE"/>
    <w:rsid w:val="004631E0"/>
    <w:rsid w:val="00467BBF"/>
    <w:rsid w:val="00471F9B"/>
    <w:rsid w:val="00473D98"/>
    <w:rsid w:val="0048194F"/>
    <w:rsid w:val="004848D0"/>
    <w:rsid w:val="00484F86"/>
    <w:rsid w:val="00490419"/>
    <w:rsid w:val="00492DB0"/>
    <w:rsid w:val="00493574"/>
    <w:rsid w:val="004A060B"/>
    <w:rsid w:val="004A0B61"/>
    <w:rsid w:val="004A43B1"/>
    <w:rsid w:val="004A59BA"/>
    <w:rsid w:val="004C2FA8"/>
    <w:rsid w:val="004E5A45"/>
    <w:rsid w:val="004F3C95"/>
    <w:rsid w:val="004F768A"/>
    <w:rsid w:val="00500D52"/>
    <w:rsid w:val="00504829"/>
    <w:rsid w:val="0054252B"/>
    <w:rsid w:val="00552B88"/>
    <w:rsid w:val="00552F65"/>
    <w:rsid w:val="0055757B"/>
    <w:rsid w:val="00563448"/>
    <w:rsid w:val="0056706F"/>
    <w:rsid w:val="00573F1A"/>
    <w:rsid w:val="00576355"/>
    <w:rsid w:val="005863AD"/>
    <w:rsid w:val="005B3BD8"/>
    <w:rsid w:val="005C512B"/>
    <w:rsid w:val="005D33C5"/>
    <w:rsid w:val="005E561C"/>
    <w:rsid w:val="005E68A8"/>
    <w:rsid w:val="00601BDB"/>
    <w:rsid w:val="006100FC"/>
    <w:rsid w:val="00613E0F"/>
    <w:rsid w:val="00614D42"/>
    <w:rsid w:val="00625ABE"/>
    <w:rsid w:val="00630CEA"/>
    <w:rsid w:val="006376AF"/>
    <w:rsid w:val="00637ED6"/>
    <w:rsid w:val="00640E98"/>
    <w:rsid w:val="00651C1B"/>
    <w:rsid w:val="00652A28"/>
    <w:rsid w:val="0065358C"/>
    <w:rsid w:val="006606A2"/>
    <w:rsid w:val="006617B3"/>
    <w:rsid w:val="006A12F9"/>
    <w:rsid w:val="006B6392"/>
    <w:rsid w:val="006B6859"/>
    <w:rsid w:val="006C30F9"/>
    <w:rsid w:val="006C41E8"/>
    <w:rsid w:val="006C516F"/>
    <w:rsid w:val="006D13FE"/>
    <w:rsid w:val="006F0C5F"/>
    <w:rsid w:val="0072268D"/>
    <w:rsid w:val="007240C6"/>
    <w:rsid w:val="00726E50"/>
    <w:rsid w:val="0073411E"/>
    <w:rsid w:val="00734817"/>
    <w:rsid w:val="007522C0"/>
    <w:rsid w:val="007545DB"/>
    <w:rsid w:val="00774EE9"/>
    <w:rsid w:val="00775AC1"/>
    <w:rsid w:val="007812B3"/>
    <w:rsid w:val="00784003"/>
    <w:rsid w:val="0079392D"/>
    <w:rsid w:val="007957E2"/>
    <w:rsid w:val="007A45DA"/>
    <w:rsid w:val="007A59DE"/>
    <w:rsid w:val="007B24F2"/>
    <w:rsid w:val="007B4D66"/>
    <w:rsid w:val="007C06F1"/>
    <w:rsid w:val="007E2A41"/>
    <w:rsid w:val="007E62BA"/>
    <w:rsid w:val="007F205A"/>
    <w:rsid w:val="00834F5D"/>
    <w:rsid w:val="00860CC4"/>
    <w:rsid w:val="00881B70"/>
    <w:rsid w:val="00892BD9"/>
    <w:rsid w:val="008939B1"/>
    <w:rsid w:val="008A5C28"/>
    <w:rsid w:val="008A5EA2"/>
    <w:rsid w:val="008B2954"/>
    <w:rsid w:val="008B4EFE"/>
    <w:rsid w:val="008B53AB"/>
    <w:rsid w:val="008C2314"/>
    <w:rsid w:val="008E1EA5"/>
    <w:rsid w:val="008E3566"/>
    <w:rsid w:val="008E73E0"/>
    <w:rsid w:val="009002D4"/>
    <w:rsid w:val="00900AEE"/>
    <w:rsid w:val="00912734"/>
    <w:rsid w:val="00914488"/>
    <w:rsid w:val="00916383"/>
    <w:rsid w:val="0094090F"/>
    <w:rsid w:val="00954046"/>
    <w:rsid w:val="00961901"/>
    <w:rsid w:val="0097280E"/>
    <w:rsid w:val="009744F5"/>
    <w:rsid w:val="009751EB"/>
    <w:rsid w:val="009A78A9"/>
    <w:rsid w:val="009C0B62"/>
    <w:rsid w:val="009C2329"/>
    <w:rsid w:val="009D1F10"/>
    <w:rsid w:val="009D3914"/>
    <w:rsid w:val="009E3ACE"/>
    <w:rsid w:val="009E405B"/>
    <w:rsid w:val="009F29A6"/>
    <w:rsid w:val="00A010C1"/>
    <w:rsid w:val="00A01B0E"/>
    <w:rsid w:val="00A04A4F"/>
    <w:rsid w:val="00A14C6D"/>
    <w:rsid w:val="00A17F69"/>
    <w:rsid w:val="00A24282"/>
    <w:rsid w:val="00A25730"/>
    <w:rsid w:val="00A37AFF"/>
    <w:rsid w:val="00A60EFB"/>
    <w:rsid w:val="00A66B1D"/>
    <w:rsid w:val="00A77074"/>
    <w:rsid w:val="00A81EF9"/>
    <w:rsid w:val="00A82C8D"/>
    <w:rsid w:val="00AA3062"/>
    <w:rsid w:val="00AA3FFA"/>
    <w:rsid w:val="00AC0DAD"/>
    <w:rsid w:val="00AE1A03"/>
    <w:rsid w:val="00AF1501"/>
    <w:rsid w:val="00B04C3C"/>
    <w:rsid w:val="00B172F9"/>
    <w:rsid w:val="00B428F7"/>
    <w:rsid w:val="00B444D2"/>
    <w:rsid w:val="00B61357"/>
    <w:rsid w:val="00B66327"/>
    <w:rsid w:val="00B664F1"/>
    <w:rsid w:val="00B70928"/>
    <w:rsid w:val="00B764CB"/>
    <w:rsid w:val="00B83CD8"/>
    <w:rsid w:val="00BA236F"/>
    <w:rsid w:val="00BA2FAF"/>
    <w:rsid w:val="00BA527A"/>
    <w:rsid w:val="00BC06C7"/>
    <w:rsid w:val="00BC1573"/>
    <w:rsid w:val="00BC4830"/>
    <w:rsid w:val="00BD21C3"/>
    <w:rsid w:val="00BE1343"/>
    <w:rsid w:val="00BE1684"/>
    <w:rsid w:val="00BF36DD"/>
    <w:rsid w:val="00BF7725"/>
    <w:rsid w:val="00C0598B"/>
    <w:rsid w:val="00C23ADB"/>
    <w:rsid w:val="00C279C7"/>
    <w:rsid w:val="00C30DA2"/>
    <w:rsid w:val="00C30E0D"/>
    <w:rsid w:val="00C32BD9"/>
    <w:rsid w:val="00C42343"/>
    <w:rsid w:val="00C42CF1"/>
    <w:rsid w:val="00C55012"/>
    <w:rsid w:val="00C557CE"/>
    <w:rsid w:val="00C84677"/>
    <w:rsid w:val="00C93B5D"/>
    <w:rsid w:val="00C93CCE"/>
    <w:rsid w:val="00C963A7"/>
    <w:rsid w:val="00CA1E1A"/>
    <w:rsid w:val="00CB168C"/>
    <w:rsid w:val="00CB1D45"/>
    <w:rsid w:val="00CC2147"/>
    <w:rsid w:val="00CF03BB"/>
    <w:rsid w:val="00CF12E8"/>
    <w:rsid w:val="00D04F0E"/>
    <w:rsid w:val="00D10981"/>
    <w:rsid w:val="00D1113F"/>
    <w:rsid w:val="00D23411"/>
    <w:rsid w:val="00D2382D"/>
    <w:rsid w:val="00D2583D"/>
    <w:rsid w:val="00D307F4"/>
    <w:rsid w:val="00D3279A"/>
    <w:rsid w:val="00D336D3"/>
    <w:rsid w:val="00D3746E"/>
    <w:rsid w:val="00D42654"/>
    <w:rsid w:val="00D45743"/>
    <w:rsid w:val="00D50C01"/>
    <w:rsid w:val="00D51617"/>
    <w:rsid w:val="00D83191"/>
    <w:rsid w:val="00D966E7"/>
    <w:rsid w:val="00DA1BD2"/>
    <w:rsid w:val="00DB395E"/>
    <w:rsid w:val="00DB4B6E"/>
    <w:rsid w:val="00DD0B64"/>
    <w:rsid w:val="00DD2637"/>
    <w:rsid w:val="00DE5F32"/>
    <w:rsid w:val="00DF01A9"/>
    <w:rsid w:val="00DF3A7E"/>
    <w:rsid w:val="00DF41F9"/>
    <w:rsid w:val="00E05931"/>
    <w:rsid w:val="00E07FC2"/>
    <w:rsid w:val="00E10AE6"/>
    <w:rsid w:val="00E13AFB"/>
    <w:rsid w:val="00E257B1"/>
    <w:rsid w:val="00E43391"/>
    <w:rsid w:val="00E43DEA"/>
    <w:rsid w:val="00E566F8"/>
    <w:rsid w:val="00E71B7B"/>
    <w:rsid w:val="00E72188"/>
    <w:rsid w:val="00E77F19"/>
    <w:rsid w:val="00EA1F02"/>
    <w:rsid w:val="00EA23E3"/>
    <w:rsid w:val="00EE0B83"/>
    <w:rsid w:val="00EF3AE5"/>
    <w:rsid w:val="00F05589"/>
    <w:rsid w:val="00F05C69"/>
    <w:rsid w:val="00F21859"/>
    <w:rsid w:val="00F23025"/>
    <w:rsid w:val="00F27826"/>
    <w:rsid w:val="00F3669B"/>
    <w:rsid w:val="00F46AA0"/>
    <w:rsid w:val="00F67F61"/>
    <w:rsid w:val="00F76BB0"/>
    <w:rsid w:val="00FA6FB4"/>
    <w:rsid w:val="00FA7E64"/>
    <w:rsid w:val="00FB6DC1"/>
    <w:rsid w:val="00FC346B"/>
    <w:rsid w:val="00FD013D"/>
    <w:rsid w:val="00FD09F8"/>
    <w:rsid w:val="00FD2329"/>
    <w:rsid w:val="00FE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49466"/>
  <w15:docId w15:val="{37CF0683-4E69-40BF-A086-4EC90E9F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81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4817"/>
    <w:pPr>
      <w:tabs>
        <w:tab w:val="center" w:pos="4320"/>
        <w:tab w:val="right" w:pos="8640"/>
      </w:tabs>
    </w:pPr>
  </w:style>
  <w:style w:type="character" w:customStyle="1" w:styleId="FooterChar">
    <w:name w:val="Footer Char"/>
    <w:basedOn w:val="DefaultParagraphFont"/>
    <w:link w:val="Footer"/>
    <w:uiPriority w:val="99"/>
    <w:rsid w:val="00734817"/>
    <w:rPr>
      <w:rFonts w:ascii="Times New Roman" w:eastAsia="MS Mincho" w:hAnsi="Times New Roman" w:cs="Times New Roman"/>
      <w:sz w:val="24"/>
      <w:szCs w:val="24"/>
      <w:lang w:eastAsia="ja-JP"/>
    </w:rPr>
  </w:style>
  <w:style w:type="character" w:styleId="PageNumber">
    <w:name w:val="page number"/>
    <w:basedOn w:val="DefaultParagraphFont"/>
    <w:rsid w:val="00734817"/>
  </w:style>
  <w:style w:type="paragraph" w:styleId="ListParagraph">
    <w:name w:val="List Paragraph"/>
    <w:basedOn w:val="Normal"/>
    <w:uiPriority w:val="34"/>
    <w:qFormat/>
    <w:rsid w:val="00734817"/>
    <w:pPr>
      <w:spacing w:after="200" w:line="276" w:lineRule="auto"/>
      <w:ind w:left="720"/>
      <w:contextualSpacing/>
    </w:pPr>
    <w:rPr>
      <w:rFonts w:ascii="Calibri" w:eastAsia="Times New Roman" w:hAnsi="Calibri"/>
      <w:sz w:val="22"/>
      <w:szCs w:val="22"/>
      <w:lang w:eastAsia="en-US"/>
    </w:rPr>
  </w:style>
  <w:style w:type="paragraph" w:styleId="TOC1">
    <w:name w:val="toc 1"/>
    <w:basedOn w:val="Normal"/>
    <w:next w:val="Normal"/>
    <w:autoRedefine/>
    <w:uiPriority w:val="39"/>
    <w:semiHidden/>
    <w:qFormat/>
    <w:rsid w:val="00734817"/>
  </w:style>
  <w:style w:type="paragraph" w:styleId="FootnoteText">
    <w:name w:val="footnote text"/>
    <w:basedOn w:val="Normal"/>
    <w:link w:val="FootnoteTextChar"/>
    <w:uiPriority w:val="99"/>
    <w:unhideWhenUsed/>
    <w:rsid w:val="00734817"/>
    <w:rPr>
      <w:rFonts w:ascii="Calibri" w:eastAsia="Times New Roman" w:hAnsi="Calibri"/>
      <w:sz w:val="20"/>
      <w:szCs w:val="20"/>
      <w:lang w:eastAsia="en-US"/>
    </w:rPr>
  </w:style>
  <w:style w:type="character" w:customStyle="1" w:styleId="FootnoteTextChar">
    <w:name w:val="Footnote Text Char"/>
    <w:basedOn w:val="DefaultParagraphFont"/>
    <w:link w:val="FootnoteText"/>
    <w:uiPriority w:val="99"/>
    <w:rsid w:val="00734817"/>
    <w:rPr>
      <w:rFonts w:ascii="Calibri" w:eastAsia="Times New Roman" w:hAnsi="Calibri" w:cs="Times New Roman"/>
      <w:sz w:val="20"/>
      <w:szCs w:val="20"/>
    </w:rPr>
  </w:style>
  <w:style w:type="character" w:styleId="FootnoteReference">
    <w:name w:val="footnote reference"/>
    <w:uiPriority w:val="99"/>
    <w:unhideWhenUsed/>
    <w:rsid w:val="00734817"/>
    <w:rPr>
      <w:vertAlign w:val="superscript"/>
    </w:rPr>
  </w:style>
  <w:style w:type="character" w:customStyle="1" w:styleId="A0">
    <w:name w:val="A0"/>
    <w:uiPriority w:val="99"/>
    <w:rsid w:val="00734817"/>
    <w:rPr>
      <w:rFonts w:cs="Lucida Sans"/>
      <w:color w:val="000000"/>
      <w:sz w:val="18"/>
      <w:szCs w:val="18"/>
    </w:rPr>
  </w:style>
  <w:style w:type="character" w:styleId="CommentReference">
    <w:name w:val="annotation reference"/>
    <w:rsid w:val="00734817"/>
    <w:rPr>
      <w:sz w:val="16"/>
      <w:szCs w:val="16"/>
    </w:rPr>
  </w:style>
  <w:style w:type="paragraph" w:styleId="CommentText">
    <w:name w:val="annotation text"/>
    <w:basedOn w:val="Normal"/>
    <w:link w:val="CommentTextChar"/>
    <w:rsid w:val="00734817"/>
    <w:rPr>
      <w:sz w:val="20"/>
      <w:szCs w:val="20"/>
    </w:rPr>
  </w:style>
  <w:style w:type="character" w:customStyle="1" w:styleId="CommentTextChar">
    <w:name w:val="Comment Text Char"/>
    <w:basedOn w:val="DefaultParagraphFont"/>
    <w:link w:val="CommentText"/>
    <w:rsid w:val="00734817"/>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734817"/>
    <w:rPr>
      <w:rFonts w:ascii="Tahoma" w:hAnsi="Tahoma" w:cs="Tahoma"/>
      <w:sz w:val="16"/>
      <w:szCs w:val="16"/>
    </w:rPr>
  </w:style>
  <w:style w:type="character" w:customStyle="1" w:styleId="BalloonTextChar">
    <w:name w:val="Balloon Text Char"/>
    <w:basedOn w:val="DefaultParagraphFont"/>
    <w:link w:val="BalloonText"/>
    <w:uiPriority w:val="99"/>
    <w:semiHidden/>
    <w:rsid w:val="00734817"/>
    <w:rPr>
      <w:rFonts w:ascii="Tahoma" w:eastAsia="MS Mincho" w:hAnsi="Tahoma" w:cs="Tahoma"/>
      <w:sz w:val="16"/>
      <w:szCs w:val="16"/>
      <w:lang w:eastAsia="ja-JP"/>
    </w:rPr>
  </w:style>
  <w:style w:type="paragraph" w:customStyle="1" w:styleId="Default">
    <w:name w:val="Default"/>
    <w:rsid w:val="00E77F19"/>
    <w:pPr>
      <w:autoSpaceDE w:val="0"/>
      <w:autoSpaceDN w:val="0"/>
      <w:adjustRightInd w:val="0"/>
      <w:spacing w:after="0" w:line="240" w:lineRule="auto"/>
    </w:pPr>
    <w:rPr>
      <w:rFonts w:ascii="Calibri" w:eastAsia="MS Mincho" w:hAnsi="Calibri" w:cs="Calibri"/>
      <w:color w:val="000000"/>
      <w:sz w:val="24"/>
      <w:szCs w:val="24"/>
    </w:rPr>
  </w:style>
  <w:style w:type="paragraph" w:styleId="Header">
    <w:name w:val="header"/>
    <w:basedOn w:val="Normal"/>
    <w:link w:val="HeaderChar"/>
    <w:uiPriority w:val="99"/>
    <w:unhideWhenUsed/>
    <w:rsid w:val="006100FC"/>
    <w:pPr>
      <w:tabs>
        <w:tab w:val="center" w:pos="4680"/>
        <w:tab w:val="right" w:pos="9360"/>
      </w:tabs>
    </w:pPr>
  </w:style>
  <w:style w:type="character" w:customStyle="1" w:styleId="HeaderChar">
    <w:name w:val="Header Char"/>
    <w:basedOn w:val="DefaultParagraphFont"/>
    <w:link w:val="Header"/>
    <w:uiPriority w:val="99"/>
    <w:rsid w:val="006100FC"/>
    <w:rPr>
      <w:rFonts w:ascii="Times New Roman" w:eastAsia="MS Mincho" w:hAnsi="Times New Roman"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D2382D"/>
    <w:rPr>
      <w:b/>
      <w:bCs/>
    </w:rPr>
  </w:style>
  <w:style w:type="character" w:customStyle="1" w:styleId="CommentSubjectChar">
    <w:name w:val="Comment Subject Char"/>
    <w:basedOn w:val="CommentTextChar"/>
    <w:link w:val="CommentSubject"/>
    <w:uiPriority w:val="99"/>
    <w:semiHidden/>
    <w:rsid w:val="00D2382D"/>
    <w:rPr>
      <w:rFonts w:ascii="Times New Roman" w:eastAsia="MS Mincho" w:hAnsi="Times New Roman" w:cs="Times New Roman"/>
      <w:b/>
      <w:bCs/>
      <w:sz w:val="20"/>
      <w:szCs w:val="20"/>
      <w:lang w:eastAsia="ja-JP"/>
    </w:rPr>
  </w:style>
  <w:style w:type="paragraph" w:styleId="Caption">
    <w:name w:val="caption"/>
    <w:basedOn w:val="Normal"/>
    <w:next w:val="Normal"/>
    <w:uiPriority w:val="35"/>
    <w:unhideWhenUsed/>
    <w:qFormat/>
    <w:rsid w:val="003279DE"/>
    <w:pPr>
      <w:spacing w:after="200"/>
    </w:pPr>
    <w:rPr>
      <w:b/>
      <w:bCs/>
      <w:color w:val="4F81BD" w:themeColor="accent1"/>
      <w:sz w:val="18"/>
      <w:szCs w:val="18"/>
    </w:rPr>
  </w:style>
  <w:style w:type="table" w:styleId="TableGrid">
    <w:name w:val="Table Grid"/>
    <w:basedOn w:val="TableNormal"/>
    <w:uiPriority w:val="59"/>
    <w:rsid w:val="008E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5607">
      <w:bodyDiv w:val="1"/>
      <w:marLeft w:val="0"/>
      <w:marRight w:val="0"/>
      <w:marTop w:val="0"/>
      <w:marBottom w:val="0"/>
      <w:divBdr>
        <w:top w:val="none" w:sz="0" w:space="0" w:color="auto"/>
        <w:left w:val="none" w:sz="0" w:space="0" w:color="auto"/>
        <w:bottom w:val="none" w:sz="0" w:space="0" w:color="auto"/>
        <w:right w:val="none" w:sz="0" w:space="0" w:color="auto"/>
      </w:divBdr>
    </w:div>
    <w:div w:id="533813979">
      <w:bodyDiv w:val="1"/>
      <w:marLeft w:val="0"/>
      <w:marRight w:val="0"/>
      <w:marTop w:val="0"/>
      <w:marBottom w:val="0"/>
      <w:divBdr>
        <w:top w:val="none" w:sz="0" w:space="0" w:color="auto"/>
        <w:left w:val="none" w:sz="0" w:space="0" w:color="auto"/>
        <w:bottom w:val="none" w:sz="0" w:space="0" w:color="auto"/>
        <w:right w:val="none" w:sz="0" w:space="0" w:color="auto"/>
      </w:divBdr>
    </w:div>
    <w:div w:id="1006714913">
      <w:bodyDiv w:val="1"/>
      <w:marLeft w:val="0"/>
      <w:marRight w:val="0"/>
      <w:marTop w:val="0"/>
      <w:marBottom w:val="0"/>
      <w:divBdr>
        <w:top w:val="none" w:sz="0" w:space="0" w:color="auto"/>
        <w:left w:val="none" w:sz="0" w:space="0" w:color="auto"/>
        <w:bottom w:val="none" w:sz="0" w:space="0" w:color="auto"/>
        <w:right w:val="none" w:sz="0" w:space="0" w:color="auto"/>
      </w:divBdr>
    </w:div>
    <w:div w:id="1213347270">
      <w:bodyDiv w:val="1"/>
      <w:marLeft w:val="0"/>
      <w:marRight w:val="0"/>
      <w:marTop w:val="0"/>
      <w:marBottom w:val="0"/>
      <w:divBdr>
        <w:top w:val="none" w:sz="0" w:space="0" w:color="auto"/>
        <w:left w:val="none" w:sz="0" w:space="0" w:color="auto"/>
        <w:bottom w:val="none" w:sz="0" w:space="0" w:color="auto"/>
        <w:right w:val="none" w:sz="0" w:space="0" w:color="auto"/>
      </w:divBdr>
    </w:div>
    <w:div w:id="1253583463">
      <w:bodyDiv w:val="1"/>
      <w:marLeft w:val="0"/>
      <w:marRight w:val="0"/>
      <w:marTop w:val="0"/>
      <w:marBottom w:val="0"/>
      <w:divBdr>
        <w:top w:val="none" w:sz="0" w:space="0" w:color="auto"/>
        <w:left w:val="none" w:sz="0" w:space="0" w:color="auto"/>
        <w:bottom w:val="none" w:sz="0" w:space="0" w:color="auto"/>
        <w:right w:val="none" w:sz="0" w:space="0" w:color="auto"/>
      </w:divBdr>
    </w:div>
    <w:div w:id="1486314560">
      <w:bodyDiv w:val="1"/>
      <w:marLeft w:val="0"/>
      <w:marRight w:val="0"/>
      <w:marTop w:val="0"/>
      <w:marBottom w:val="0"/>
      <w:divBdr>
        <w:top w:val="none" w:sz="0" w:space="0" w:color="auto"/>
        <w:left w:val="none" w:sz="0" w:space="0" w:color="auto"/>
        <w:bottom w:val="none" w:sz="0" w:space="0" w:color="auto"/>
        <w:right w:val="none" w:sz="0" w:space="0" w:color="auto"/>
      </w:divBdr>
    </w:div>
    <w:div w:id="1612473804">
      <w:bodyDiv w:val="1"/>
      <w:marLeft w:val="0"/>
      <w:marRight w:val="0"/>
      <w:marTop w:val="0"/>
      <w:marBottom w:val="0"/>
      <w:divBdr>
        <w:top w:val="none" w:sz="0" w:space="0" w:color="auto"/>
        <w:left w:val="none" w:sz="0" w:space="0" w:color="auto"/>
        <w:bottom w:val="none" w:sz="0" w:space="0" w:color="auto"/>
        <w:right w:val="none" w:sz="0" w:space="0" w:color="auto"/>
      </w:divBdr>
    </w:div>
    <w:div w:id="1718778973">
      <w:bodyDiv w:val="1"/>
      <w:marLeft w:val="0"/>
      <w:marRight w:val="0"/>
      <w:marTop w:val="0"/>
      <w:marBottom w:val="0"/>
      <w:divBdr>
        <w:top w:val="none" w:sz="0" w:space="0" w:color="auto"/>
        <w:left w:val="none" w:sz="0" w:space="0" w:color="auto"/>
        <w:bottom w:val="none" w:sz="0" w:space="0" w:color="auto"/>
        <w:right w:val="none" w:sz="0" w:space="0" w:color="auto"/>
      </w:divBdr>
    </w:div>
    <w:div w:id="2078090189">
      <w:bodyDiv w:val="1"/>
      <w:marLeft w:val="0"/>
      <w:marRight w:val="0"/>
      <w:marTop w:val="0"/>
      <w:marBottom w:val="0"/>
      <w:divBdr>
        <w:top w:val="none" w:sz="0" w:space="0" w:color="auto"/>
        <w:left w:val="none" w:sz="0" w:space="0" w:color="auto"/>
        <w:bottom w:val="none" w:sz="0" w:space="0" w:color="auto"/>
        <w:right w:val="none" w:sz="0" w:space="0" w:color="auto"/>
      </w:divBdr>
    </w:div>
    <w:div w:id="21083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05D55-7441-468B-9287-15336325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Louisiana Office of Student Financial Assistance</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Norris</dc:creator>
  <cp:lastModifiedBy>Larry Tremblay</cp:lastModifiedBy>
  <cp:revision>5</cp:revision>
  <cp:lastPrinted>2015-12-11T16:17:00Z</cp:lastPrinted>
  <dcterms:created xsi:type="dcterms:W3CDTF">2017-12-28T16:10:00Z</dcterms:created>
  <dcterms:modified xsi:type="dcterms:W3CDTF">2018-01-19T16:23:00Z</dcterms:modified>
</cp:coreProperties>
</file>